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8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charts/chart9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charts/chart10.xml" ContentType="application/vnd.openxmlformats-officedocument.drawingml.chart+xml"/>
  <Override PartName="/word/charts/style10.xml" ContentType="application/vnd.ms-office.chartstyle+xml"/>
  <Override PartName="/word/charts/colors10.xml" ContentType="application/vnd.ms-office.chartcolorstyle+xml"/>
  <Override PartName="/word/charts/chart11.xml" ContentType="application/vnd.openxmlformats-officedocument.drawingml.chart+xml"/>
  <Override PartName="/word/charts/style11.xml" ContentType="application/vnd.ms-office.chartstyle+xml"/>
  <Override PartName="/word/charts/colors11.xml" ContentType="application/vnd.ms-office.chartcolorstyle+xml"/>
  <Override PartName="/word/charts/chart12.xml" ContentType="application/vnd.openxmlformats-officedocument.drawingml.chart+xml"/>
  <Override PartName="/word/charts/style12.xml" ContentType="application/vnd.ms-office.chartstyle+xml"/>
  <Override PartName="/word/charts/colors12.xml" ContentType="application/vnd.ms-office.chartcolorstyle+xml"/>
  <Override PartName="/word/charts/chart13.xml" ContentType="application/vnd.openxmlformats-officedocument.drawingml.chart+xml"/>
  <Override PartName="/word/charts/style13.xml" ContentType="application/vnd.ms-office.chartstyle+xml"/>
  <Override PartName="/word/charts/colors13.xml" ContentType="application/vnd.ms-office.chartcolorstyle+xml"/>
  <Override PartName="/word/charts/chart14.xml" ContentType="application/vnd.openxmlformats-officedocument.drawingml.chart+xml"/>
  <Override PartName="/word/charts/style14.xml" ContentType="application/vnd.ms-office.chartstyle+xml"/>
  <Override PartName="/word/charts/colors14.xml" ContentType="application/vnd.ms-office.chartcolorstyle+xml"/>
  <Override PartName="/word/charts/chart15.xml" ContentType="application/vnd.openxmlformats-officedocument.drawingml.chart+xml"/>
  <Override PartName="/word/charts/style15.xml" ContentType="application/vnd.ms-office.chartstyle+xml"/>
  <Override PartName="/word/charts/colors15.xml" ContentType="application/vnd.ms-office.chartcolorstyle+xml"/>
  <Override PartName="/word/charts/chart16.xml" ContentType="application/vnd.openxmlformats-officedocument.drawingml.chart+xml"/>
  <Override PartName="/word/charts/style16.xml" ContentType="application/vnd.ms-office.chartstyle+xml"/>
  <Override PartName="/word/charts/colors16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A25061" w14:textId="77777777" w:rsidR="001A3A5A" w:rsidRPr="00AE60EC" w:rsidRDefault="001A3A5A" w:rsidP="001A3A5A">
      <w:pPr>
        <w:pStyle w:val="Nadpis1"/>
      </w:pPr>
      <w:bookmarkStart w:id="0" w:name="_Toc130460012"/>
      <w:r w:rsidRPr="00AE60EC">
        <w:t>ČINNOST VÝBORŮ PRO AUDIT</w:t>
      </w:r>
      <w:r w:rsidRPr="00AE60EC">
        <w:rPr/>
        <w:footnoteReference w:id="1"/>
      </w:r>
      <w:bookmarkEnd w:id="0"/>
    </w:p>
    <w:p w14:paraId="1FF27ADF" w14:textId="77777777" w:rsidR="001A3A5A" w:rsidRPr="00CC28D9" w:rsidRDefault="001A3A5A" w:rsidP="001A3A5A">
      <w:pPr>
        <w:spacing w:before="0"/>
        <w:rPr>
          <w:color w:val="000000" w:themeColor="text1"/>
          <w:highlight w:val="yellow"/>
        </w:rPr>
      </w:pPr>
    </w:p>
    <w:p w14:paraId="34608A7D" w14:textId="77777777" w:rsidR="001A3A5A" w:rsidRPr="00037AC5" w:rsidRDefault="001A3A5A" w:rsidP="001A3A5A">
      <w:pPr>
        <w:spacing w:before="0"/>
        <w:rPr>
          <w:color w:val="000000" w:themeColor="text1"/>
        </w:rPr>
      </w:pPr>
      <w:r w:rsidRPr="00037AC5">
        <w:rPr>
          <w:color w:val="000000" w:themeColor="text1"/>
        </w:rPr>
        <w:t>Výbor pro audit je, v souladu s platnou legislativou, povinen jednou ročně vyhotovit zprávu o činnosti a tuto zprávu poskytnout Radě. Rada monitoruje činnosti výborů pro audit pomocí těchto zpráv a</w:t>
      </w:r>
      <w:r>
        <w:rPr>
          <w:color w:val="000000" w:themeColor="text1"/>
        </w:rPr>
        <w:t> </w:t>
      </w:r>
      <w:r w:rsidRPr="00037AC5">
        <w:rPr>
          <w:color w:val="000000" w:themeColor="text1"/>
        </w:rPr>
        <w:t xml:space="preserve">prostřednictvím informací, které výbory pro audit zveřejňují na internetových stránkách subjektů, ve kterých působí. </w:t>
      </w:r>
    </w:p>
    <w:p w14:paraId="76ADB034" w14:textId="77777777" w:rsidR="001A3A5A" w:rsidRDefault="001A3A5A" w:rsidP="001A3A5A">
      <w:pPr>
        <w:spacing w:before="0"/>
        <w:rPr>
          <w:color w:val="000000" w:themeColor="text1"/>
        </w:rPr>
      </w:pPr>
    </w:p>
    <w:p w14:paraId="004DB015" w14:textId="77777777" w:rsidR="001A3A5A" w:rsidRDefault="001A3A5A" w:rsidP="001A3A5A">
      <w:pPr>
        <w:spacing w:before="0"/>
        <w:rPr>
          <w:color w:val="000000" w:themeColor="text1"/>
        </w:rPr>
      </w:pPr>
      <w:r>
        <w:rPr>
          <w:color w:val="000000" w:themeColor="text1"/>
        </w:rPr>
        <w:t>P</w:t>
      </w:r>
      <w:r w:rsidRPr="00037AC5">
        <w:rPr>
          <w:color w:val="000000" w:themeColor="text1"/>
        </w:rPr>
        <w:t>ro účetní období roku 20</w:t>
      </w:r>
      <w:r>
        <w:rPr>
          <w:color w:val="000000" w:themeColor="text1"/>
        </w:rPr>
        <w:t>21</w:t>
      </w:r>
      <w:r w:rsidRPr="00037AC5">
        <w:rPr>
          <w:color w:val="000000" w:themeColor="text1"/>
        </w:rPr>
        <w:t xml:space="preserve"> zveřejnila Rada na svých internetových stránkách </w:t>
      </w:r>
      <w:r>
        <w:rPr>
          <w:color w:val="000000" w:themeColor="text1"/>
        </w:rPr>
        <w:t xml:space="preserve">novou </w:t>
      </w:r>
      <w:r w:rsidRPr="00037AC5">
        <w:rPr>
          <w:color w:val="000000" w:themeColor="text1"/>
        </w:rPr>
        <w:t>šablonu v MS Excel doporučenou výborům pro audit pro zpracování zprávy o činnosti</w:t>
      </w:r>
      <w:r>
        <w:rPr>
          <w:color w:val="000000" w:themeColor="text1"/>
        </w:rPr>
        <w:t>, kterou vydala skupina pro monitorování trhu výboru CEAOB, aby získala další informace o aktivitách</w:t>
      </w:r>
      <w:r w:rsidRPr="0071515A">
        <w:rPr>
          <w:color w:val="000000" w:themeColor="text1"/>
        </w:rPr>
        <w:t xml:space="preserve"> </w:t>
      </w:r>
      <w:r>
        <w:rPr>
          <w:color w:val="000000" w:themeColor="text1"/>
        </w:rPr>
        <w:t>výborů pro audit vyplývajících z Nařízení a ze Směrnice</w:t>
      </w:r>
      <w:r>
        <w:rPr>
          <w:rStyle w:val="Znakapoznpodarou"/>
          <w:color w:val="000000" w:themeColor="text1"/>
        </w:rPr>
        <w:footnoteReference w:id="2"/>
      </w:r>
      <w:r w:rsidRPr="00037AC5">
        <w:rPr>
          <w:color w:val="000000" w:themeColor="text1"/>
        </w:rPr>
        <w:t xml:space="preserve">. </w:t>
      </w:r>
    </w:p>
    <w:p w14:paraId="3F68CC67" w14:textId="77777777" w:rsidR="001A3A5A" w:rsidRDefault="001A3A5A" w:rsidP="001A3A5A">
      <w:pPr>
        <w:spacing w:before="0"/>
        <w:rPr>
          <w:color w:val="000000" w:themeColor="text1"/>
        </w:rPr>
      </w:pPr>
    </w:p>
    <w:p w14:paraId="32765CCB" w14:textId="77777777" w:rsidR="001A3A5A" w:rsidRDefault="001A3A5A" w:rsidP="001A3A5A">
      <w:pPr>
        <w:spacing w:before="0"/>
        <w:rPr>
          <w:color w:val="000000" w:themeColor="text1"/>
        </w:rPr>
      </w:pPr>
      <w:r>
        <w:rPr>
          <w:color w:val="000000" w:themeColor="text1"/>
        </w:rPr>
        <w:t xml:space="preserve">Nová šablona je rozdělena do šesti částí, kterými jsou: </w:t>
      </w:r>
    </w:p>
    <w:p w14:paraId="01D2A3A7" w14:textId="77777777" w:rsidR="001A3A5A" w:rsidRDefault="001A3A5A" w:rsidP="001A3A5A">
      <w:pPr>
        <w:pStyle w:val="Odstavecseseznamem"/>
        <w:numPr>
          <w:ilvl w:val="0"/>
          <w:numId w:val="2"/>
        </w:numPr>
        <w:spacing w:before="0"/>
        <w:ind w:left="426" w:hanging="426"/>
        <w:rPr>
          <w:color w:val="000000" w:themeColor="text1"/>
        </w:rPr>
      </w:pPr>
      <w:r>
        <w:rPr>
          <w:color w:val="000000" w:themeColor="text1"/>
        </w:rPr>
        <w:t>Úvod – základní informace týkající se subjektu, ve kterém výbor pro audit působí;</w:t>
      </w:r>
    </w:p>
    <w:p w14:paraId="08DCF139" w14:textId="77777777" w:rsidR="001A3A5A" w:rsidRDefault="001A3A5A" w:rsidP="001A3A5A">
      <w:pPr>
        <w:pStyle w:val="Odstavecseseznamem"/>
        <w:numPr>
          <w:ilvl w:val="0"/>
          <w:numId w:val="2"/>
        </w:numPr>
        <w:spacing w:before="0"/>
        <w:ind w:left="426" w:hanging="426"/>
        <w:rPr>
          <w:color w:val="000000" w:themeColor="text1"/>
        </w:rPr>
      </w:pPr>
      <w:r w:rsidRPr="00911CAA">
        <w:rPr>
          <w:color w:val="000000" w:themeColor="text1"/>
        </w:rPr>
        <w:t>Interakce s řídicím nebo kontrolním orgánem</w:t>
      </w:r>
      <w:r>
        <w:rPr>
          <w:color w:val="000000" w:themeColor="text1"/>
        </w:rPr>
        <w:t>;</w:t>
      </w:r>
    </w:p>
    <w:p w14:paraId="1F1EC9FD" w14:textId="77777777" w:rsidR="001A3A5A" w:rsidRDefault="001A3A5A" w:rsidP="001A3A5A">
      <w:pPr>
        <w:pStyle w:val="Odstavecseseznamem"/>
        <w:numPr>
          <w:ilvl w:val="0"/>
          <w:numId w:val="2"/>
        </w:numPr>
        <w:spacing w:before="0"/>
        <w:ind w:left="426" w:hanging="426"/>
        <w:rPr>
          <w:color w:val="000000" w:themeColor="text1"/>
        </w:rPr>
      </w:pPr>
      <w:r w:rsidRPr="00911CAA">
        <w:rPr>
          <w:color w:val="000000" w:themeColor="text1"/>
        </w:rPr>
        <w:t xml:space="preserve">Nezávislost, včetně povolených </w:t>
      </w:r>
      <w:proofErr w:type="spellStart"/>
      <w:r w:rsidRPr="00911CAA">
        <w:rPr>
          <w:color w:val="000000" w:themeColor="text1"/>
        </w:rPr>
        <w:t>neauditorských</w:t>
      </w:r>
      <w:proofErr w:type="spellEnd"/>
      <w:r w:rsidRPr="00911CAA">
        <w:rPr>
          <w:color w:val="000000" w:themeColor="text1"/>
        </w:rPr>
        <w:t xml:space="preserve"> služeb a 70 % limit</w:t>
      </w:r>
      <w:r>
        <w:rPr>
          <w:color w:val="000000" w:themeColor="text1"/>
        </w:rPr>
        <w:t>;</w:t>
      </w:r>
    </w:p>
    <w:p w14:paraId="7B37B4CE" w14:textId="77777777" w:rsidR="001A3A5A" w:rsidRDefault="001A3A5A" w:rsidP="001A3A5A">
      <w:pPr>
        <w:pStyle w:val="Odstavecseseznamem"/>
        <w:numPr>
          <w:ilvl w:val="0"/>
          <w:numId w:val="2"/>
        </w:numPr>
        <w:spacing w:before="0"/>
        <w:ind w:left="426" w:hanging="426"/>
        <w:rPr>
          <w:color w:val="000000" w:themeColor="text1"/>
        </w:rPr>
      </w:pPr>
      <w:r w:rsidRPr="00911CAA">
        <w:rPr>
          <w:color w:val="000000" w:themeColor="text1"/>
        </w:rPr>
        <w:t>Výběr auditora</w:t>
      </w:r>
      <w:r>
        <w:rPr>
          <w:color w:val="000000" w:themeColor="text1"/>
        </w:rPr>
        <w:t>;</w:t>
      </w:r>
    </w:p>
    <w:p w14:paraId="232045DA" w14:textId="77777777" w:rsidR="001A3A5A" w:rsidRDefault="001A3A5A" w:rsidP="001A3A5A">
      <w:pPr>
        <w:pStyle w:val="Odstavecseseznamem"/>
        <w:numPr>
          <w:ilvl w:val="0"/>
          <w:numId w:val="2"/>
        </w:numPr>
        <w:spacing w:before="0"/>
        <w:ind w:left="426" w:hanging="426"/>
        <w:rPr>
          <w:color w:val="000000" w:themeColor="text1"/>
        </w:rPr>
      </w:pPr>
      <w:r w:rsidRPr="00911CAA">
        <w:rPr>
          <w:color w:val="000000" w:themeColor="text1"/>
        </w:rPr>
        <w:t>Sledování procesu povinného auditu</w:t>
      </w:r>
      <w:r>
        <w:rPr>
          <w:color w:val="000000" w:themeColor="text1"/>
        </w:rPr>
        <w:t>;</w:t>
      </w:r>
    </w:p>
    <w:p w14:paraId="28247392" w14:textId="77777777" w:rsidR="001A3A5A" w:rsidRPr="00911CAA" w:rsidRDefault="001A3A5A" w:rsidP="001A3A5A">
      <w:pPr>
        <w:pStyle w:val="Odstavecseseznamem"/>
        <w:numPr>
          <w:ilvl w:val="0"/>
          <w:numId w:val="2"/>
        </w:numPr>
        <w:spacing w:before="0"/>
        <w:ind w:left="426" w:hanging="426"/>
        <w:rPr>
          <w:color w:val="000000" w:themeColor="text1"/>
        </w:rPr>
      </w:pPr>
      <w:r w:rsidRPr="00911CAA">
        <w:rPr>
          <w:color w:val="000000" w:themeColor="text1"/>
        </w:rPr>
        <w:t>Sledování procesu účetního výkaznictví</w:t>
      </w:r>
      <w:r>
        <w:rPr>
          <w:color w:val="000000" w:themeColor="text1"/>
        </w:rPr>
        <w:t>.</w:t>
      </w:r>
    </w:p>
    <w:p w14:paraId="1972646F" w14:textId="77777777" w:rsidR="001A3A5A" w:rsidRDefault="001A3A5A" w:rsidP="001A3A5A">
      <w:pPr>
        <w:spacing w:before="0"/>
        <w:rPr>
          <w:color w:val="000000" w:themeColor="text1"/>
        </w:rPr>
      </w:pPr>
    </w:p>
    <w:p w14:paraId="5483B93C" w14:textId="77777777" w:rsidR="001A3A5A" w:rsidRDefault="001A3A5A" w:rsidP="001A3A5A">
      <w:pPr>
        <w:spacing w:before="0"/>
      </w:pPr>
      <w:r>
        <w:rPr>
          <w:color w:val="000000" w:themeColor="text1"/>
        </w:rPr>
        <w:t>Celkem bylo Radě doručeno 147 zpráv, z toho v</w:t>
      </w:r>
      <w:r w:rsidRPr="00037AC5">
        <w:rPr>
          <w:color w:val="000000" w:themeColor="text1"/>
        </w:rPr>
        <w:t xml:space="preserve"> doporučeném formátu bylo</w:t>
      </w:r>
      <w:r>
        <w:rPr>
          <w:color w:val="000000" w:themeColor="text1"/>
        </w:rPr>
        <w:t xml:space="preserve"> </w:t>
      </w:r>
      <w:r w:rsidRPr="00037AC5">
        <w:rPr>
          <w:color w:val="000000" w:themeColor="text1"/>
        </w:rPr>
        <w:t>1</w:t>
      </w:r>
      <w:r>
        <w:rPr>
          <w:color w:val="000000" w:themeColor="text1"/>
        </w:rPr>
        <w:t>33</w:t>
      </w:r>
      <w:r w:rsidRPr="00037AC5">
        <w:rPr>
          <w:color w:val="000000" w:themeColor="text1"/>
        </w:rPr>
        <w:t xml:space="preserve"> </w:t>
      </w:r>
      <w:r>
        <w:rPr>
          <w:color w:val="000000" w:themeColor="text1"/>
        </w:rPr>
        <w:t>z nich (90 %)</w:t>
      </w:r>
      <w:r w:rsidRPr="00037AC5">
        <w:rPr>
          <w:color w:val="000000" w:themeColor="text1"/>
        </w:rPr>
        <w:t>. Informace uvedené v této kapitole zprávy o</w:t>
      </w:r>
      <w:r>
        <w:rPr>
          <w:color w:val="000000" w:themeColor="text1"/>
        </w:rPr>
        <w:t> </w:t>
      </w:r>
      <w:r w:rsidRPr="00037AC5">
        <w:rPr>
          <w:color w:val="000000" w:themeColor="text1"/>
        </w:rPr>
        <w:t>činnosti</w:t>
      </w:r>
      <w:r>
        <w:rPr>
          <w:color w:val="000000" w:themeColor="text1"/>
        </w:rPr>
        <w:t xml:space="preserve"> Rady</w:t>
      </w:r>
      <w:r w:rsidRPr="00037AC5">
        <w:rPr>
          <w:color w:val="000000" w:themeColor="text1"/>
        </w:rPr>
        <w:t xml:space="preserve"> vycházejí z analýzy zpráv</w:t>
      </w:r>
      <w:r>
        <w:rPr>
          <w:color w:val="000000" w:themeColor="text1"/>
        </w:rPr>
        <w:t>, které byly Radě poskytnuty v doporučeném formátu</w:t>
      </w:r>
      <w:r w:rsidRPr="00037AC5">
        <w:rPr>
          <w:color w:val="000000" w:themeColor="text1"/>
        </w:rPr>
        <w:t>.</w:t>
      </w:r>
      <w:r>
        <w:rPr>
          <w:color w:val="000000" w:themeColor="text1"/>
        </w:rPr>
        <w:t xml:space="preserve"> </w:t>
      </w:r>
      <w:r w:rsidRPr="00DB5AA1">
        <w:rPr>
          <w:color w:val="000000" w:themeColor="text1"/>
        </w:rPr>
        <w:t xml:space="preserve">Pro každou otázku bylo </w:t>
      </w:r>
      <w:r>
        <w:rPr>
          <w:color w:val="000000" w:themeColor="text1"/>
        </w:rPr>
        <w:t>možné vybrat</w:t>
      </w:r>
      <w:r w:rsidRPr="00DB5AA1">
        <w:rPr>
          <w:color w:val="000000" w:themeColor="text1"/>
        </w:rPr>
        <w:t xml:space="preserve"> pouze jednu z nabízených možností</w:t>
      </w:r>
      <w:r>
        <w:rPr>
          <w:color w:val="000000" w:themeColor="text1"/>
        </w:rPr>
        <w:t xml:space="preserve">. Výbory pro audit proto měly vybrat takovou odpověď, která </w:t>
      </w:r>
      <w:r w:rsidRPr="00DB5AA1">
        <w:rPr>
          <w:color w:val="000000" w:themeColor="text1"/>
        </w:rPr>
        <w:t>nejlépe vystihuje odpověď na danou otázku</w:t>
      </w:r>
      <w:r>
        <w:rPr>
          <w:color w:val="000000" w:themeColor="text1"/>
        </w:rPr>
        <w:t xml:space="preserve">. V případě potřeby mohly výbory pro audit uvést do poznámky i další možnosti, ty ale nebyly do analýzy zahrnuty. </w:t>
      </w:r>
      <w:r>
        <w:t>Nová šablona se svým obsahem liší od šablony používané v předchozích letech, proto nebylo možné všechna nově získaná data od výborů pro audit porovnávat s informacemi získanými v minulosti. Z tohoto důvodu je srovnatelnost údajů popsána pouze u vybraných oblastí.</w:t>
      </w:r>
    </w:p>
    <w:p w14:paraId="5C661481" w14:textId="77777777" w:rsidR="001A3A5A" w:rsidRDefault="001A3A5A" w:rsidP="001A3A5A">
      <w:pPr>
        <w:spacing w:before="0"/>
        <w:rPr>
          <w:color w:val="000000"/>
        </w:rPr>
      </w:pPr>
    </w:p>
    <w:p w14:paraId="532D6D4E" w14:textId="77777777" w:rsidR="001A3A5A" w:rsidRDefault="001A3A5A" w:rsidP="001A3A5A">
      <w:pPr>
        <w:spacing w:before="0"/>
      </w:pPr>
      <w:r>
        <w:rPr>
          <w:color w:val="000000"/>
        </w:rPr>
        <w:t>Z analýz dat získaných ze zpráv o činnosti výborů pro audit vyplývá, že výbory pro audit splňují požadavky, pokud jde o jejich složení, nezávislost, odbornou způsobilost i dohled nad vnitřním auditem.</w:t>
      </w:r>
      <w:r>
        <w:t xml:space="preserve"> </w:t>
      </w:r>
    </w:p>
    <w:p w14:paraId="10C73E61" w14:textId="77777777" w:rsidR="001A3A5A" w:rsidRDefault="001A3A5A" w:rsidP="001A3A5A">
      <w:pPr>
        <w:spacing w:before="0"/>
      </w:pPr>
    </w:p>
    <w:p w14:paraId="46B0B813" w14:textId="77777777" w:rsidR="001A3A5A" w:rsidRDefault="001A3A5A" w:rsidP="001A3A5A">
      <w:pPr>
        <w:spacing w:before="0"/>
      </w:pPr>
      <w:r>
        <w:t xml:space="preserve">Na druhé straně by se výbory pro audit měly setkávat s řídicím nebo kontrolním orgánem častěji. Stejně tak by se měla zvýšit frekvence setkávání s auditorem, protože zákon o auditorech klade na výbor pro audit v oblasti povinného auditu celou řadu požadavků, které se týkají nejenom statutárního auditora či auditorské společnosti, ale i povinného auditu, poskytování </w:t>
      </w:r>
      <w:proofErr w:type="spellStart"/>
      <w:r>
        <w:t>neauditorských</w:t>
      </w:r>
      <w:proofErr w:type="spellEnd"/>
      <w:r>
        <w:t xml:space="preserve"> služeb a sledování postupu sestavování účetní závěrky či konsolidované účetní závěrky. Daný úkol tak nelze splnit pouhým setkáním nad plánem auditu a následně až při projednání návrhu zprávy nezávislého auditora. Pro členy výboru pro audit je důležité získávat aktuální informace průběžně a mít možnost reagovat na zjištění auditora dříve, než jsou uvedena do návrhu zprávy nezávislého auditora. Výbor pro audit by proto měl svůj roční harmonogram prací zkoordinovat s časovým harmonogramem auditora tak, aby mohl sledovat a posuzovat činnosti spojené s procesem povinného auditu, popř. poskytováním </w:t>
      </w:r>
      <w:proofErr w:type="spellStart"/>
      <w:r>
        <w:t>neauditorských</w:t>
      </w:r>
      <w:proofErr w:type="spellEnd"/>
      <w:r>
        <w:t xml:space="preserve"> služeb. Výsledkem komunikace a spolupráce výboru pro audit s auditorem je projednání návrhu zprávy nezávislého auditora a dodatečné zprávy určené výboru pro audit. </w:t>
      </w:r>
    </w:p>
    <w:p w14:paraId="04928A85" w14:textId="77777777" w:rsidR="001A3A5A" w:rsidRDefault="001A3A5A" w:rsidP="001A3A5A">
      <w:pPr>
        <w:spacing w:before="0"/>
      </w:pPr>
    </w:p>
    <w:p w14:paraId="04D8CD16" w14:textId="77777777" w:rsidR="001A3A5A" w:rsidRDefault="001A3A5A" w:rsidP="001A3A5A">
      <w:pPr>
        <w:spacing w:before="0"/>
      </w:pPr>
      <w:r>
        <w:t>Na základě informací o povinném auditu účetní závěrky či konsolidované účetní závěrky a jejich vyhodnocení by měl o výsledku výbor pro audit informovat řídicí a/nebo kontrolní orgán subjektu.</w:t>
      </w:r>
    </w:p>
    <w:p w14:paraId="0C408463" w14:textId="77777777" w:rsidR="001A3A5A" w:rsidRPr="00DB5AA1" w:rsidRDefault="001A3A5A" w:rsidP="001A3A5A">
      <w:pPr>
        <w:spacing w:before="0"/>
        <w:rPr>
          <w:color w:val="000000" w:themeColor="text1"/>
        </w:rPr>
      </w:pPr>
    </w:p>
    <w:p w14:paraId="222370B4" w14:textId="77777777" w:rsidR="001A3A5A" w:rsidRPr="00037AC5" w:rsidRDefault="001A3A5A" w:rsidP="001A3A5A">
      <w:pPr>
        <w:spacing w:before="0"/>
        <w:rPr>
          <w:color w:val="000000" w:themeColor="text1"/>
        </w:rPr>
      </w:pPr>
    </w:p>
    <w:p w14:paraId="44A77FB5" w14:textId="77777777" w:rsidR="001A3A5A" w:rsidRDefault="001A3A5A" w:rsidP="001A3A5A">
      <w:pPr>
        <w:pStyle w:val="Nadpis2"/>
      </w:pPr>
      <w:bookmarkStart w:id="1" w:name="_Toc130460013"/>
      <w:r>
        <w:lastRenderedPageBreak/>
        <w:t>Úvod</w:t>
      </w:r>
      <w:bookmarkEnd w:id="1"/>
    </w:p>
    <w:p w14:paraId="68DB262E" w14:textId="77777777" w:rsidR="001A3A5A" w:rsidRDefault="001A3A5A" w:rsidP="001A3A5A">
      <w:pPr>
        <w:spacing w:before="0"/>
      </w:pPr>
    </w:p>
    <w:p w14:paraId="3A54B456" w14:textId="77777777" w:rsidR="001A3A5A" w:rsidRDefault="001A3A5A" w:rsidP="001A3A5A">
      <w:pPr>
        <w:pStyle w:val="Titulek"/>
        <w:keepNext/>
      </w:pPr>
      <w:bookmarkStart w:id="2" w:name="_Toc131065948"/>
      <w:r>
        <w:t xml:space="preserve">Obrázek </w:t>
      </w:r>
      <w:r>
        <w:fldChar w:fldCharType="begin"/>
      </w:r>
      <w:r>
        <w:instrText xml:space="preserve"> SEQ Obrázek \* ARABIC </w:instrText>
      </w:r>
      <w: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  <w:r>
        <w:t>: Ekonomická činnost subjektů, ve kterých působí výbory pro audit</w:t>
      </w:r>
      <w:bookmarkEnd w:id="2"/>
    </w:p>
    <w:p w14:paraId="5E972A39" w14:textId="77777777" w:rsidR="001A3A5A" w:rsidRDefault="001A3A5A" w:rsidP="001A3A5A">
      <w:pPr>
        <w:spacing w:before="0"/>
      </w:pPr>
      <w:r>
        <w:rPr>
          <w:noProof/>
          <w:lang w:eastAsia="cs-CZ"/>
        </w:rPr>
        <w:drawing>
          <wp:inline distT="0" distB="0" distL="0" distR="0" wp14:anchorId="1A80E03B" wp14:editId="5D26ED15">
            <wp:extent cx="5622878" cy="2825087"/>
            <wp:effectExtent l="0" t="0" r="16510" b="13970"/>
            <wp:docPr id="4" name="Graf 4">
              <a:extLst xmlns:a="http://schemas.openxmlformats.org/drawingml/2006/main">
                <a:ext uri="{FF2B5EF4-FFF2-40B4-BE49-F238E27FC236}">
                  <a16:creationId xmlns:a16="http://schemas.microsoft.com/office/drawing/2014/main" id="{B7FACB7B-9C91-4B6B-9F57-A9A6053F63B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683BA485" w14:textId="77777777" w:rsidR="001A3A5A" w:rsidRDefault="001A3A5A" w:rsidP="001A3A5A">
      <w:pPr>
        <w:spacing w:before="0"/>
      </w:pPr>
    </w:p>
    <w:p w14:paraId="53237E06" w14:textId="77777777" w:rsidR="001A3A5A" w:rsidRPr="00F63A00" w:rsidRDefault="001A3A5A" w:rsidP="001A3A5A">
      <w:pPr>
        <w:spacing w:before="0"/>
      </w:pPr>
      <w:r>
        <w:t xml:space="preserve">Většina subjektů působí v sektoru finančních služeb – bankovnictví, pojišťovnictví, investiční fondy apod. </w:t>
      </w:r>
      <w:r w:rsidRPr="00992D6E">
        <w:t>V porovnání s daty získanými v minulosti tak nedošlo k žádné významné změně v této sledované oblasti.</w:t>
      </w:r>
    </w:p>
    <w:p w14:paraId="13A681C0" w14:textId="77777777" w:rsidR="001A3A5A" w:rsidRPr="00F63A00" w:rsidRDefault="001A3A5A" w:rsidP="001A3A5A">
      <w:pPr>
        <w:spacing w:before="0"/>
      </w:pPr>
    </w:p>
    <w:p w14:paraId="75CC66DB" w14:textId="77777777" w:rsidR="001A3A5A" w:rsidRDefault="001A3A5A" w:rsidP="001A3A5A">
      <w:pPr>
        <w:pStyle w:val="Titulek"/>
        <w:keepNext/>
      </w:pPr>
      <w:bookmarkStart w:id="3" w:name="_Toc131065949"/>
      <w:r>
        <w:t xml:space="preserve">Obrázek </w:t>
      </w:r>
      <w:r>
        <w:fldChar w:fldCharType="begin"/>
      </w:r>
      <w:r>
        <w:instrText xml:space="preserve"> SEQ Obrázek \* ARABIC </w:instrText>
      </w:r>
      <w: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  <w:r>
        <w:t>: Počet zaměstnanců subjektu, ve kterém působí výbor pro audit</w:t>
      </w:r>
      <w:bookmarkEnd w:id="3"/>
    </w:p>
    <w:p w14:paraId="3D92E408" w14:textId="77777777" w:rsidR="001A3A5A" w:rsidRDefault="001A3A5A" w:rsidP="001A3A5A">
      <w:pPr>
        <w:spacing w:before="0"/>
      </w:pPr>
      <w:r>
        <w:rPr>
          <w:noProof/>
          <w:lang w:eastAsia="cs-CZ"/>
        </w:rPr>
        <w:drawing>
          <wp:inline distT="0" distB="0" distL="0" distR="0" wp14:anchorId="39621A91" wp14:editId="03A201A6">
            <wp:extent cx="5622290" cy="2529444"/>
            <wp:effectExtent l="0" t="0" r="16510" b="4445"/>
            <wp:docPr id="11" name="Graf 11">
              <a:extLst xmlns:a="http://schemas.openxmlformats.org/drawingml/2006/main">
                <a:ext uri="{FF2B5EF4-FFF2-40B4-BE49-F238E27FC236}">
                  <a16:creationId xmlns:a16="http://schemas.microsoft.com/office/drawing/2014/main" id="{F81B83BF-A627-4A90-9C8C-4E9CBBA23AC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4742E624" w14:textId="77777777" w:rsidR="001A3A5A" w:rsidRDefault="001A3A5A" w:rsidP="001A3A5A">
      <w:pPr>
        <w:spacing w:before="0"/>
      </w:pPr>
    </w:p>
    <w:p w14:paraId="6C83C7BF" w14:textId="77777777" w:rsidR="001A3A5A" w:rsidRDefault="001A3A5A" w:rsidP="001A3A5A">
      <w:pPr>
        <w:spacing w:before="0"/>
      </w:pPr>
      <w:bookmarkStart w:id="4" w:name="_Toc130460015"/>
      <w:r w:rsidRPr="00992D6E">
        <w:t>Vzhledem k tomu, že se nezměnilo ani portfolio sledovaných subjektů ani legislativa, která by měnila definici SVZ, nedošlo v oblasti týkající se počtu zaměstnanců subjektů, ve kterých působí výbor</w:t>
      </w:r>
      <w:r>
        <w:t>y</w:t>
      </w:r>
      <w:r w:rsidRPr="00992D6E">
        <w:t xml:space="preserve"> pro audit k žádné významné změně.</w:t>
      </w:r>
    </w:p>
    <w:p w14:paraId="1692CDF8" w14:textId="77777777" w:rsidR="001A3A5A" w:rsidRDefault="001A3A5A" w:rsidP="001A3A5A">
      <w:pPr>
        <w:pStyle w:val="Titulek"/>
        <w:keepNext/>
      </w:pPr>
      <w:bookmarkStart w:id="5" w:name="_Toc131065950"/>
      <w:bookmarkEnd w:id="4"/>
      <w:r>
        <w:lastRenderedPageBreak/>
        <w:t xml:space="preserve">Obrázek </w:t>
      </w:r>
      <w:r>
        <w:fldChar w:fldCharType="begin"/>
      </w:r>
      <w:r>
        <w:instrText xml:space="preserve"> SEQ Obrázek \* ARABIC </w:instrText>
      </w:r>
      <w: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  <w:r>
        <w:t>: Počet členů výboru pro audit (§ 44 odst. 1 zákona o auditorech)</w:t>
      </w:r>
      <w:bookmarkEnd w:id="5"/>
    </w:p>
    <w:p w14:paraId="18F46602" w14:textId="77777777" w:rsidR="001A3A5A" w:rsidRDefault="001A3A5A" w:rsidP="001A3A5A">
      <w:pPr>
        <w:spacing w:before="0"/>
        <w:rPr>
          <w:u w:val="single"/>
        </w:rPr>
      </w:pPr>
      <w:r>
        <w:rPr>
          <w:noProof/>
          <w:lang w:eastAsia="cs-CZ"/>
        </w:rPr>
        <w:drawing>
          <wp:inline distT="0" distB="0" distL="0" distR="0" wp14:anchorId="7925F007" wp14:editId="3F763B9F">
            <wp:extent cx="5652654" cy="1840676"/>
            <wp:effectExtent l="0" t="0" r="5715" b="7620"/>
            <wp:docPr id="15" name="Graf 15">
              <a:extLst xmlns:a="http://schemas.openxmlformats.org/drawingml/2006/main">
                <a:ext uri="{FF2B5EF4-FFF2-40B4-BE49-F238E27FC236}">
                  <a16:creationId xmlns:a16="http://schemas.microsoft.com/office/drawing/2014/main" id="{897C8923-57D3-41CC-A9C1-D9DA4FECD6B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  <w:r w:rsidRPr="00CB04C7">
        <w:rPr>
          <w:u w:val="single"/>
        </w:rPr>
        <w:t xml:space="preserve"> </w:t>
      </w:r>
    </w:p>
    <w:p w14:paraId="72FA1611" w14:textId="77777777" w:rsidR="001A3A5A" w:rsidRDefault="001A3A5A" w:rsidP="001A3A5A">
      <w:pPr>
        <w:spacing w:before="0"/>
        <w:rPr>
          <w:u w:val="single"/>
        </w:rPr>
      </w:pPr>
    </w:p>
    <w:p w14:paraId="7F2D84FB" w14:textId="77777777" w:rsidR="001A3A5A" w:rsidRDefault="001A3A5A" w:rsidP="001A3A5A">
      <w:pPr>
        <w:spacing w:before="0"/>
      </w:pPr>
      <w:r w:rsidRPr="00567574">
        <w:t>Zákon o auditorech uvádí, že výbor pro audit nebo kontrolní org</w:t>
      </w:r>
      <w:r>
        <w:t>á</w:t>
      </w:r>
      <w:r w:rsidRPr="00567574">
        <w:t>n má nejméně 3 členy.</w:t>
      </w:r>
      <w:r>
        <w:t xml:space="preserve"> Většina výborů pro audit tak měla v subjektech, ve kterých působí, zákonem stanovený minimální počet členů. V počtu členů </w:t>
      </w:r>
      <w:r w:rsidRPr="00037AC5">
        <w:t xml:space="preserve">výborů pro audit SVZ </w:t>
      </w:r>
      <w:r>
        <w:t xml:space="preserve">také k žádné významné změně nedošlo, protože i v minulosti plnila většina výborů pro audit legislativou </w:t>
      </w:r>
      <w:r w:rsidRPr="00037AC5">
        <w:t>stanovený minimální počet</w:t>
      </w:r>
      <w:r>
        <w:t xml:space="preserve"> členů</w:t>
      </w:r>
      <w:r w:rsidRPr="00037AC5">
        <w:t>, tj. 3</w:t>
      </w:r>
      <w:r>
        <w:t xml:space="preserve"> členy.</w:t>
      </w:r>
    </w:p>
    <w:p w14:paraId="1053864D" w14:textId="77777777" w:rsidR="001A3A5A" w:rsidRPr="0071515A" w:rsidRDefault="001A3A5A" w:rsidP="001A3A5A">
      <w:pPr>
        <w:spacing w:before="0"/>
      </w:pPr>
    </w:p>
    <w:p w14:paraId="6F53E7D9" w14:textId="77777777" w:rsidR="001A3A5A" w:rsidRDefault="001A3A5A" w:rsidP="001A3A5A">
      <w:pPr>
        <w:pStyle w:val="Nadpis2"/>
      </w:pPr>
      <w:bookmarkStart w:id="6" w:name="_Toc130460016"/>
      <w:r w:rsidRPr="00A47743">
        <w:t>Interakce</w:t>
      </w:r>
      <w:r>
        <w:t xml:space="preserve"> s řídicím nebo kontrolním orgánem</w:t>
      </w:r>
      <w:bookmarkEnd w:id="6"/>
    </w:p>
    <w:p w14:paraId="00F272A9" w14:textId="77777777" w:rsidR="001A3A5A" w:rsidRDefault="001A3A5A" w:rsidP="001A3A5A">
      <w:pPr>
        <w:spacing w:before="0"/>
      </w:pPr>
    </w:p>
    <w:p w14:paraId="70257690" w14:textId="77777777" w:rsidR="001A3A5A" w:rsidRDefault="001A3A5A" w:rsidP="001A3A5A">
      <w:pPr>
        <w:pStyle w:val="Titulek"/>
        <w:keepNext/>
      </w:pPr>
      <w:bookmarkStart w:id="7" w:name="_Toc131065951"/>
      <w:r>
        <w:t xml:space="preserve">Obrázek </w:t>
      </w:r>
      <w:r>
        <w:fldChar w:fldCharType="begin"/>
      </w:r>
      <w:r>
        <w:instrText xml:space="preserve"> SEQ Obrázek \* ARABIC </w:instrText>
      </w:r>
      <w: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  <w:r>
        <w:t>: Setkávání s řídicím orgánem (čl. 39 odst. 6 písm. a)</w:t>
      </w:r>
      <w:r w:rsidRPr="00575C04">
        <w:t xml:space="preserve"> </w:t>
      </w:r>
      <w:r>
        <w:t>Směrnice)</w:t>
      </w:r>
      <w:bookmarkEnd w:id="7"/>
    </w:p>
    <w:p w14:paraId="684262DB" w14:textId="77777777" w:rsidR="001A3A5A" w:rsidRPr="00030787" w:rsidRDefault="001A3A5A" w:rsidP="001A3A5A">
      <w:r>
        <w:rPr>
          <w:noProof/>
        </w:rPr>
        <w:drawing>
          <wp:inline distT="0" distB="0" distL="0" distR="0" wp14:anchorId="35DA1F00" wp14:editId="0BE40D7B">
            <wp:extent cx="5652135" cy="1317625"/>
            <wp:effectExtent l="0" t="0" r="5715" b="15875"/>
            <wp:docPr id="2" name="Graf 2">
              <a:extLst xmlns:a="http://schemas.openxmlformats.org/drawingml/2006/main">
                <a:ext uri="{FF2B5EF4-FFF2-40B4-BE49-F238E27FC236}">
                  <a16:creationId xmlns:a16="http://schemas.microsoft.com/office/drawing/2014/main" id="{F6F37686-8A50-42A8-A016-1E44DF8AC37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55D74A31" w14:textId="77777777" w:rsidR="001A3A5A" w:rsidRDefault="001A3A5A" w:rsidP="001A3A5A">
      <w:pPr>
        <w:spacing w:before="0"/>
      </w:pPr>
    </w:p>
    <w:p w14:paraId="3F462373" w14:textId="77777777" w:rsidR="001A3A5A" w:rsidRDefault="001A3A5A" w:rsidP="001A3A5A">
      <w:pPr>
        <w:pStyle w:val="Titulek"/>
        <w:keepNext/>
      </w:pPr>
      <w:bookmarkStart w:id="8" w:name="_Toc131065952"/>
      <w:r>
        <w:t xml:space="preserve">Obrázek </w:t>
      </w:r>
      <w:r>
        <w:fldChar w:fldCharType="begin"/>
      </w:r>
      <w:r>
        <w:instrText xml:space="preserve"> SEQ Obrázek \* ARABIC </w:instrText>
      </w:r>
      <w: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  <w:r>
        <w:t>: Setkávání s kontrolním orgánem (čl. 39 odst. 6 písm. a) Směrnice)</w:t>
      </w:r>
      <w:bookmarkEnd w:id="8"/>
    </w:p>
    <w:p w14:paraId="00CAD0F7" w14:textId="77777777" w:rsidR="001A3A5A" w:rsidRDefault="001A3A5A" w:rsidP="001A3A5A">
      <w:pPr>
        <w:spacing w:before="0"/>
      </w:pPr>
      <w:r>
        <w:rPr>
          <w:noProof/>
        </w:rPr>
        <w:drawing>
          <wp:inline distT="0" distB="0" distL="0" distR="0" wp14:anchorId="46E5F04A" wp14:editId="7E402118">
            <wp:extent cx="5652135" cy="1317625"/>
            <wp:effectExtent l="0" t="0" r="5715" b="15875"/>
            <wp:docPr id="5" name="Graf 5">
              <a:extLst xmlns:a="http://schemas.openxmlformats.org/drawingml/2006/main">
                <a:ext uri="{FF2B5EF4-FFF2-40B4-BE49-F238E27FC236}">
                  <a16:creationId xmlns:a16="http://schemas.microsoft.com/office/drawing/2014/main" id="{F422399A-5A3F-4023-A8AD-D2C3E80B440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7FBF5391" w14:textId="77777777" w:rsidR="001A3A5A" w:rsidRDefault="001A3A5A" w:rsidP="001A3A5A">
      <w:pPr>
        <w:spacing w:before="0"/>
      </w:pPr>
    </w:p>
    <w:p w14:paraId="69F5D896" w14:textId="77777777" w:rsidR="001A3A5A" w:rsidRDefault="001A3A5A" w:rsidP="001A3A5A">
      <w:pPr>
        <w:spacing w:before="0"/>
        <w:rPr>
          <w:color w:val="000000" w:themeColor="text1"/>
        </w:rPr>
      </w:pPr>
      <w:r>
        <w:rPr>
          <w:color w:val="000000" w:themeColor="text1"/>
        </w:rPr>
        <w:t>Frekvence setkávání výboru pro audit s řídicím nebo kontrolním orgánem není legislativně upravena, proto záleží na každém výboru pro audit, kolikrát se během sledovaného období s těmito orgány SVZ setká. Z výše uvedených dat vyplývá, že většina výborů pro audit se s řídicím nebo kontrolním orgánem setkala ve sledovaném období minimálně jednou.</w:t>
      </w:r>
    </w:p>
    <w:p w14:paraId="1782E210" w14:textId="77777777" w:rsidR="001A3A5A" w:rsidRDefault="001A3A5A" w:rsidP="001A3A5A">
      <w:r>
        <w:t>V předchozích letech nebyla frekvence setkávání výboru pro audit s orgány subjektu, ve kterém výbor pro audit působí rozdělena samostatně pro řídicí a kontrolní orgán. Zároveň nebyla k dispozici tak široká škála četnosti setkávání, přesto největší procento výborů pro audit ve svých zprávách uvedlo, že ve sledovaných obdobích se s relevantním orgánem sešlo alespoň jednou, tzn., že ani v této oblasti nedošlo mezi sledovanými roky k žádné významné změně.</w:t>
      </w:r>
    </w:p>
    <w:p w14:paraId="1327450D" w14:textId="77777777" w:rsidR="001A3A5A" w:rsidRDefault="001A3A5A" w:rsidP="001A3A5A">
      <w:pPr>
        <w:spacing w:before="0"/>
        <w:rPr>
          <w:color w:val="000000" w:themeColor="text1"/>
        </w:rPr>
      </w:pPr>
    </w:p>
    <w:p w14:paraId="6490B0E7" w14:textId="77777777" w:rsidR="001A3A5A" w:rsidRDefault="001A3A5A" w:rsidP="001A3A5A">
      <w:pPr>
        <w:pStyle w:val="Titulek"/>
        <w:keepNext/>
      </w:pPr>
      <w:bookmarkStart w:id="9" w:name="_Toc131065953"/>
      <w:r>
        <w:lastRenderedPageBreak/>
        <w:t xml:space="preserve">Obrázek </w:t>
      </w:r>
      <w:r>
        <w:fldChar w:fldCharType="begin"/>
      </w:r>
      <w:r>
        <w:instrText xml:space="preserve"> SEQ Obrázek \* ARABIC </w:instrText>
      </w:r>
      <w: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  <w:r>
        <w:t>: Informace o výsledku povinného auditu – řídicí orgán (čl. 39 odst. 6 písm. a)</w:t>
      </w:r>
      <w:r w:rsidRPr="00575C04">
        <w:t xml:space="preserve"> </w:t>
      </w:r>
      <w:r>
        <w:t>Směrnice)</w:t>
      </w:r>
      <w:bookmarkEnd w:id="9"/>
    </w:p>
    <w:p w14:paraId="1DDF7C11" w14:textId="77777777" w:rsidR="001A3A5A" w:rsidRDefault="001A3A5A" w:rsidP="001A3A5A">
      <w:pPr>
        <w:spacing w:before="0"/>
        <w:rPr>
          <w:u w:val="single"/>
        </w:rPr>
      </w:pPr>
      <w:r>
        <w:rPr>
          <w:noProof/>
          <w:lang w:eastAsia="cs-CZ"/>
        </w:rPr>
        <w:drawing>
          <wp:inline distT="0" distB="0" distL="0" distR="0" wp14:anchorId="7D428A3B" wp14:editId="7CBDE4A7">
            <wp:extent cx="5699760" cy="2481580"/>
            <wp:effectExtent l="0" t="0" r="15240" b="13970"/>
            <wp:docPr id="10" name="Graf 10">
              <a:extLst xmlns:a="http://schemas.openxmlformats.org/drawingml/2006/main">
                <a:ext uri="{FF2B5EF4-FFF2-40B4-BE49-F238E27FC236}">
                  <a16:creationId xmlns:a16="http://schemas.microsoft.com/office/drawing/2014/main" id="{B066E113-4C82-4850-9B7A-BC508650E17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21A74C1A" w14:textId="77777777" w:rsidR="001A3A5A" w:rsidRDefault="001A3A5A" w:rsidP="001A3A5A">
      <w:pPr>
        <w:spacing w:before="0"/>
      </w:pPr>
    </w:p>
    <w:p w14:paraId="2A1F5691" w14:textId="77777777" w:rsidR="001A3A5A" w:rsidRDefault="001A3A5A" w:rsidP="001A3A5A">
      <w:pPr>
        <w:pStyle w:val="Titulek"/>
        <w:keepNext/>
      </w:pPr>
      <w:bookmarkStart w:id="10" w:name="_Toc131065954"/>
      <w:r>
        <w:t xml:space="preserve">Obrázek </w:t>
      </w:r>
      <w:r>
        <w:fldChar w:fldCharType="begin"/>
      </w:r>
      <w:r>
        <w:instrText xml:space="preserve"> SEQ Obrázek \* ARABIC </w:instrText>
      </w:r>
      <w: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  <w:r>
        <w:t>: Informace o výsledku povinného auditu – kontrolní orgán (čl. 39. odst. 6 písm. a)</w:t>
      </w:r>
      <w:r w:rsidRPr="00575C04">
        <w:t xml:space="preserve"> </w:t>
      </w:r>
      <w:r>
        <w:t>Směrnice)</w:t>
      </w:r>
      <w:bookmarkEnd w:id="10"/>
    </w:p>
    <w:p w14:paraId="0F48B958" w14:textId="77777777" w:rsidR="001A3A5A" w:rsidRDefault="001A3A5A" w:rsidP="001A3A5A">
      <w:pPr>
        <w:spacing w:before="0"/>
      </w:pPr>
      <w:r>
        <w:rPr>
          <w:noProof/>
          <w:lang w:eastAsia="cs-CZ"/>
        </w:rPr>
        <w:drawing>
          <wp:inline distT="0" distB="0" distL="0" distR="0" wp14:anchorId="1BF9D82D" wp14:editId="5AE6F36A">
            <wp:extent cx="5700156" cy="2481580"/>
            <wp:effectExtent l="0" t="0" r="15240" b="13970"/>
            <wp:docPr id="13" name="Graf 13">
              <a:extLst xmlns:a="http://schemas.openxmlformats.org/drawingml/2006/main">
                <a:ext uri="{FF2B5EF4-FFF2-40B4-BE49-F238E27FC236}">
                  <a16:creationId xmlns:a16="http://schemas.microsoft.com/office/drawing/2014/main" id="{8C334609-9DD6-4ECF-AA08-EA45854EF59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73FB0F13" w14:textId="77777777" w:rsidR="001A3A5A" w:rsidRDefault="001A3A5A" w:rsidP="001A3A5A">
      <w:pPr>
        <w:spacing w:before="0"/>
      </w:pPr>
    </w:p>
    <w:p w14:paraId="017E4F41" w14:textId="77777777" w:rsidR="001A3A5A" w:rsidRDefault="001A3A5A" w:rsidP="001A3A5A">
      <w:pPr>
        <w:spacing w:before="0"/>
        <w:rPr>
          <w:u w:val="single"/>
        </w:rPr>
      </w:pPr>
      <w:r>
        <w:t>Ze Směrnice vyplývá, že v</w:t>
      </w:r>
      <w:r w:rsidRPr="00136B1E">
        <w:t>ý</w:t>
      </w:r>
      <w:r>
        <w:t>bor pro audit informuje řídicí nebo kontrolní orgán auditovaného subjektu o výsledku povinného auditu a vysvětlí, jakým způsobem povinný audit přispěl k integritě účetního výkaznictví a jaká byla role výboru pro audit v tomto procesu. Z přijatých zpráv o činnosti výborů pro audit vyplývá, že většina výborů pro audit informovala o této činnosti řídicí či kontrolní orgán verbálně na schůzkách za přítomnosti vedení subjektu.</w:t>
      </w:r>
    </w:p>
    <w:p w14:paraId="65B3341F" w14:textId="77777777" w:rsidR="001A3A5A" w:rsidRDefault="001A3A5A" w:rsidP="001A3A5A">
      <w:pPr>
        <w:spacing w:before="0"/>
      </w:pPr>
    </w:p>
    <w:p w14:paraId="26E37C5B" w14:textId="77777777" w:rsidR="001A3A5A" w:rsidRDefault="001A3A5A" w:rsidP="001A3A5A">
      <w:pPr>
        <w:spacing w:before="0" w:after="160" w:line="259" w:lineRule="auto"/>
        <w:jc w:val="left"/>
        <w:rPr>
          <w:rFonts w:eastAsiaTheme="majorEastAsia"/>
          <w:color w:val="000000" w:themeColor="text1"/>
          <w:highlight w:val="lightGray"/>
        </w:rPr>
      </w:pPr>
      <w:bookmarkStart w:id="11" w:name="_Toc130460021"/>
      <w:r>
        <w:rPr>
          <w:highlight w:val="lightGray"/>
        </w:rPr>
        <w:br w:type="page"/>
      </w:r>
    </w:p>
    <w:bookmarkEnd w:id="11"/>
    <w:p w14:paraId="00266E01" w14:textId="77777777" w:rsidR="001A3A5A" w:rsidRDefault="001A3A5A" w:rsidP="001A3A5A">
      <w:pPr>
        <w:spacing w:before="0"/>
      </w:pPr>
    </w:p>
    <w:p w14:paraId="5D56BFA7" w14:textId="77777777" w:rsidR="001A3A5A" w:rsidRDefault="001A3A5A" w:rsidP="001A3A5A">
      <w:pPr>
        <w:pStyle w:val="Titulek"/>
        <w:keepNext/>
      </w:pPr>
      <w:bookmarkStart w:id="12" w:name="_Toc131065955"/>
      <w:r>
        <w:t xml:space="preserve">Obrázek </w:t>
      </w:r>
      <w:r>
        <w:fldChar w:fldCharType="begin"/>
      </w:r>
      <w:r>
        <w:instrText xml:space="preserve"> SEQ Obrázek \* ARABIC </w:instrText>
      </w:r>
      <w: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  <w:r>
        <w:t>: Záležitosti související s výsledkem a sledováním procesu povinného auditu</w:t>
      </w:r>
      <w:bookmarkEnd w:id="12"/>
    </w:p>
    <w:p w14:paraId="640358B6" w14:textId="77777777" w:rsidR="001A3A5A" w:rsidRDefault="001A3A5A" w:rsidP="001A3A5A">
      <w:pPr>
        <w:spacing w:before="0"/>
      </w:pPr>
      <w:r>
        <w:rPr>
          <w:noProof/>
          <w:lang w:eastAsia="cs-CZ"/>
        </w:rPr>
        <w:drawing>
          <wp:inline distT="0" distB="0" distL="0" distR="0" wp14:anchorId="691504C5" wp14:editId="6664DC8B">
            <wp:extent cx="5613010" cy="2426677"/>
            <wp:effectExtent l="0" t="0" r="6985" b="12065"/>
            <wp:docPr id="28" name="Graf 28">
              <a:extLst xmlns:a="http://schemas.openxmlformats.org/drawingml/2006/main">
                <a:ext uri="{FF2B5EF4-FFF2-40B4-BE49-F238E27FC236}">
                  <a16:creationId xmlns:a16="http://schemas.microsoft.com/office/drawing/2014/main" id="{BDD64AF6-AC9F-4AFE-BA3C-A58224F5FE0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6F6F2DAF" w14:textId="77777777" w:rsidR="001A3A5A" w:rsidRDefault="001A3A5A" w:rsidP="001A3A5A">
      <w:pPr>
        <w:spacing w:before="0"/>
      </w:pPr>
    </w:p>
    <w:p w14:paraId="17387E2D" w14:textId="77777777" w:rsidR="001A3A5A" w:rsidRDefault="001A3A5A" w:rsidP="001A3A5A">
      <w:pPr>
        <w:spacing w:before="0"/>
      </w:pPr>
      <w:r w:rsidRPr="001B7AAB">
        <w:t>Záležitost</w:t>
      </w:r>
      <w:r>
        <w:t xml:space="preserve">em </w:t>
      </w:r>
      <w:r w:rsidRPr="001B7AAB">
        <w:t>související</w:t>
      </w:r>
      <w:r>
        <w:t>m</w:t>
      </w:r>
      <w:r w:rsidRPr="001B7AAB">
        <w:t xml:space="preserve"> s výsledkem a sledováním procesu povinného auditu</w:t>
      </w:r>
      <w:r>
        <w:t xml:space="preserve"> se věnovala většina výborů pro audit. Z přijatých zpráv vyplývá, že 33 % výborů pro audit se </w:t>
      </w:r>
      <w:r w:rsidRPr="001B7AAB">
        <w:t>během jednání s řídicím nebo kontrolním orgánem věnov</w:t>
      </w:r>
      <w:r>
        <w:t>alo procesu povinného auditu v rozsahu 25 % - 50 % z celkového času zasedání výboru pro audit a dalších 33 % výborů pro audit v rozsahu více jak 50 % z celkového času zasedání výboru pro audit.</w:t>
      </w:r>
    </w:p>
    <w:p w14:paraId="6D4D3187" w14:textId="77777777" w:rsidR="001A3A5A" w:rsidRDefault="001A3A5A" w:rsidP="001A3A5A">
      <w:pPr>
        <w:spacing w:before="0"/>
      </w:pPr>
    </w:p>
    <w:p w14:paraId="4571F630" w14:textId="77777777" w:rsidR="001A3A5A" w:rsidRDefault="001A3A5A" w:rsidP="001A3A5A">
      <w:pPr>
        <w:pStyle w:val="Titulek"/>
        <w:keepNext/>
      </w:pPr>
      <w:bookmarkStart w:id="13" w:name="_Toc131065956"/>
      <w:r>
        <w:t xml:space="preserve">Obrázek </w:t>
      </w:r>
      <w:r>
        <w:fldChar w:fldCharType="begin"/>
      </w:r>
      <w:r>
        <w:instrText xml:space="preserve"> SEQ Obrázek \* ARABIC </w:instrText>
      </w:r>
      <w: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  <w:r>
        <w:t>: Vstupy nebo doporučení ve vybraných oblastech</w:t>
      </w:r>
      <w:bookmarkEnd w:id="13"/>
    </w:p>
    <w:p w14:paraId="3FFE69E0" w14:textId="77777777" w:rsidR="001A3A5A" w:rsidRDefault="001A3A5A" w:rsidP="001A3A5A">
      <w:pPr>
        <w:spacing w:before="0"/>
      </w:pPr>
      <w:r>
        <w:rPr>
          <w:noProof/>
          <w:lang w:eastAsia="cs-CZ"/>
        </w:rPr>
        <w:drawing>
          <wp:inline distT="0" distB="0" distL="0" distR="0" wp14:anchorId="466DBEAD" wp14:editId="7B38C830">
            <wp:extent cx="5759450" cy="2173185"/>
            <wp:effectExtent l="0" t="0" r="12700" b="17780"/>
            <wp:docPr id="29" name="Graf 29">
              <a:extLst xmlns:a="http://schemas.openxmlformats.org/drawingml/2006/main">
                <a:ext uri="{FF2B5EF4-FFF2-40B4-BE49-F238E27FC236}">
                  <a16:creationId xmlns:a16="http://schemas.microsoft.com/office/drawing/2014/main" id="{65AE8E34-8467-4C4A-8997-19B1B38F026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1E30996F" w14:textId="77777777" w:rsidR="001A3A5A" w:rsidRDefault="001A3A5A" w:rsidP="001A3A5A">
      <w:pPr>
        <w:spacing w:before="0"/>
      </w:pPr>
    </w:p>
    <w:p w14:paraId="497AEFBF" w14:textId="77777777" w:rsidR="001A3A5A" w:rsidRDefault="001A3A5A" w:rsidP="001A3A5A">
      <w:pPr>
        <w:spacing w:before="0"/>
      </w:pPr>
      <w:r>
        <w:t xml:space="preserve">Na otázku, zda </w:t>
      </w:r>
      <w:r w:rsidRPr="00A22F97">
        <w:t xml:space="preserve">výbor pro audit </w:t>
      </w:r>
      <w:r>
        <w:t>p</w:t>
      </w:r>
      <w:r w:rsidRPr="00A22F97">
        <w:t>oskytl řídicímu nebo kontrolnímu orgánu vstupy nebo doporučení</w:t>
      </w:r>
      <w:r>
        <w:t xml:space="preserve"> ve vybraných oblastech odpověděla většina výborů pro audit, že žádné vstupy nebo doporučení těmto orgánům neposkytla, 25 % výborů pro audit těmto orgánům poskytlo vstupy a doporučení týkající se analýzy řízení rizik a vnitřní kontroly a 23 %</w:t>
      </w:r>
      <w:r w:rsidRPr="00153F14">
        <w:t xml:space="preserve"> </w:t>
      </w:r>
      <w:r>
        <w:t>výborů pro audit poskytlo vstupy a doporučení týkající se sestavení účetní závěrky.</w:t>
      </w:r>
    </w:p>
    <w:p w14:paraId="0C4C439D" w14:textId="77777777" w:rsidR="001A3A5A" w:rsidRPr="00F628C8" w:rsidRDefault="001A3A5A" w:rsidP="001A3A5A">
      <w:pPr>
        <w:spacing w:before="0"/>
      </w:pPr>
    </w:p>
    <w:p w14:paraId="64CA8D9D" w14:textId="77777777" w:rsidR="001A3A5A" w:rsidRDefault="001A3A5A" w:rsidP="001A3A5A">
      <w:pPr>
        <w:spacing w:before="0" w:after="160" w:line="259" w:lineRule="auto"/>
        <w:jc w:val="left"/>
        <w:rPr>
          <w:rFonts w:eastAsiaTheme="majorEastAsia"/>
          <w:b/>
          <w:color w:val="000000" w:themeColor="text1"/>
        </w:rPr>
      </w:pPr>
      <w:bookmarkStart w:id="14" w:name="_Toc130460023"/>
      <w:r>
        <w:br w:type="page"/>
      </w:r>
    </w:p>
    <w:p w14:paraId="49A7A6FD" w14:textId="77777777" w:rsidR="001A3A5A" w:rsidRDefault="001A3A5A" w:rsidP="001A3A5A">
      <w:pPr>
        <w:pStyle w:val="Nadpis2"/>
      </w:pPr>
      <w:r w:rsidRPr="00911CAA">
        <w:lastRenderedPageBreak/>
        <w:t xml:space="preserve">Nezávislost, včetně povolených </w:t>
      </w:r>
      <w:proofErr w:type="spellStart"/>
      <w:r w:rsidRPr="00911CAA">
        <w:t>neauditorských</w:t>
      </w:r>
      <w:proofErr w:type="spellEnd"/>
      <w:r w:rsidRPr="00911CAA">
        <w:t xml:space="preserve"> služeb a 70 % limit</w:t>
      </w:r>
      <w:bookmarkEnd w:id="14"/>
    </w:p>
    <w:p w14:paraId="3FBE016A" w14:textId="77777777" w:rsidR="001A3A5A" w:rsidRDefault="001A3A5A" w:rsidP="001A3A5A">
      <w:pPr>
        <w:spacing w:before="0"/>
      </w:pPr>
    </w:p>
    <w:p w14:paraId="7749209D" w14:textId="77777777" w:rsidR="001A3A5A" w:rsidRDefault="001A3A5A" w:rsidP="001A3A5A">
      <w:pPr>
        <w:pStyle w:val="Titulek"/>
        <w:keepNext/>
      </w:pPr>
      <w:bookmarkStart w:id="15" w:name="_Toc131065957"/>
      <w:r>
        <w:t xml:space="preserve">Obrázek </w:t>
      </w:r>
      <w:r>
        <w:fldChar w:fldCharType="begin"/>
      </w:r>
      <w:r>
        <w:instrText xml:space="preserve"> SEQ Obrázek \* ARABIC </w:instrText>
      </w:r>
      <w: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  <w:r>
        <w:t>: Nezávislost auditora během sledovaného období (Nařízení čl. 6.</w:t>
      </w:r>
      <w:proofErr w:type="gramStart"/>
      <w:r>
        <w:t>2a</w:t>
      </w:r>
      <w:proofErr w:type="gramEnd"/>
      <w:r>
        <w:t xml:space="preserve"> a 6.2b)</w:t>
      </w:r>
      <w:bookmarkEnd w:id="15"/>
    </w:p>
    <w:p w14:paraId="4B751075" w14:textId="77777777" w:rsidR="001A3A5A" w:rsidRDefault="001A3A5A" w:rsidP="001A3A5A">
      <w:pPr>
        <w:spacing w:before="0"/>
      </w:pPr>
      <w:r>
        <w:rPr>
          <w:noProof/>
          <w:lang w:eastAsia="cs-CZ"/>
        </w:rPr>
        <w:drawing>
          <wp:inline distT="0" distB="0" distL="0" distR="0" wp14:anchorId="4C64D55E" wp14:editId="535A61C5">
            <wp:extent cx="5759450" cy="2386941"/>
            <wp:effectExtent l="0" t="0" r="12700" b="13970"/>
            <wp:docPr id="30" name="Graf 30">
              <a:extLst xmlns:a="http://schemas.openxmlformats.org/drawingml/2006/main">
                <a:ext uri="{FF2B5EF4-FFF2-40B4-BE49-F238E27FC236}">
                  <a16:creationId xmlns:a16="http://schemas.microsoft.com/office/drawing/2014/main" id="{B12ADA97-AD6A-44D2-90F6-BE41412527D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14:paraId="65054838" w14:textId="77777777" w:rsidR="001A3A5A" w:rsidRDefault="001A3A5A" w:rsidP="001A3A5A">
      <w:pPr>
        <w:spacing w:before="0"/>
      </w:pPr>
    </w:p>
    <w:p w14:paraId="16B085E1" w14:textId="77777777" w:rsidR="001A3A5A" w:rsidRDefault="001A3A5A" w:rsidP="001A3A5A">
      <w:pPr>
        <w:spacing w:before="0"/>
      </w:pPr>
      <w:r>
        <w:t>Nařízení požaduje, aby statutární auditor nebo auditorská společnost každý rok výboru pro audit písemně potvrzovaly, že statutární auditor, auditorská společnost, auditorští partneři a členové vyššího i nižšího vedení provádějící povinný audit byly na auditovaném subjektu nezávislí a projednali s výborem pro audit případná rizika ohrožující jejich nezávislost a záruky ke zmírnění těchto rizik tak, jak jimi byly zdokumentovány. Ze analyzovaných zpráv vyplývá, že 92 % výborů pro audit získalo písemné prohlášení potvrzující nezávislost na auditovaném subjektu.</w:t>
      </w:r>
    </w:p>
    <w:p w14:paraId="0D0CD40B" w14:textId="77777777" w:rsidR="001A3A5A" w:rsidRDefault="001A3A5A" w:rsidP="001A3A5A">
      <w:pPr>
        <w:spacing w:before="0"/>
        <w:rPr>
          <w:u w:val="single"/>
        </w:rPr>
      </w:pPr>
    </w:p>
    <w:p w14:paraId="402F7287" w14:textId="77777777" w:rsidR="001A3A5A" w:rsidRDefault="001A3A5A" w:rsidP="001A3A5A">
      <w:pPr>
        <w:spacing w:before="0"/>
      </w:pPr>
      <w:r>
        <w:t xml:space="preserve">Na otázku, zda </w:t>
      </w:r>
      <w:r w:rsidRPr="00AC24CC">
        <w:t xml:space="preserve">výbor pro audit </w:t>
      </w:r>
      <w:r>
        <w:t>s</w:t>
      </w:r>
      <w:r w:rsidRPr="00AC24CC">
        <w:t xml:space="preserve">tanovil další kritéria omezující </w:t>
      </w:r>
      <w:proofErr w:type="spellStart"/>
      <w:r w:rsidRPr="00AC24CC">
        <w:t>neauditorské</w:t>
      </w:r>
      <w:proofErr w:type="spellEnd"/>
      <w:r w:rsidRPr="00AC24CC">
        <w:t xml:space="preserve"> služby, která by byla přípustná podle Nařízení nebo lokální legislativy</w:t>
      </w:r>
      <w:r>
        <w:t xml:space="preserve">, odpovědělo 92 % výborů pro audit, že další </w:t>
      </w:r>
      <w:r w:rsidRPr="00AC24CC">
        <w:t xml:space="preserve">kritéria omezující </w:t>
      </w:r>
      <w:proofErr w:type="spellStart"/>
      <w:r w:rsidRPr="00AC24CC">
        <w:t>neauditorské</w:t>
      </w:r>
      <w:proofErr w:type="spellEnd"/>
      <w:r w:rsidRPr="00AC24CC">
        <w:t xml:space="preserve"> služby</w:t>
      </w:r>
      <w:r>
        <w:t xml:space="preserve"> stanovena nebyla.</w:t>
      </w:r>
    </w:p>
    <w:p w14:paraId="77497849" w14:textId="77777777" w:rsidR="001A3A5A" w:rsidRDefault="001A3A5A" w:rsidP="001A3A5A">
      <w:pPr>
        <w:spacing w:before="0"/>
      </w:pPr>
    </w:p>
    <w:p w14:paraId="58988127" w14:textId="77777777" w:rsidR="001A3A5A" w:rsidRDefault="001A3A5A" w:rsidP="001A3A5A">
      <w:pPr>
        <w:pStyle w:val="Titulek"/>
        <w:keepNext/>
      </w:pPr>
      <w:bookmarkStart w:id="16" w:name="_Toc131065958"/>
      <w:r>
        <w:t xml:space="preserve">Obrázek </w:t>
      </w:r>
      <w:r>
        <w:fldChar w:fldCharType="begin"/>
      </w:r>
      <w:r>
        <w:instrText xml:space="preserve"> SEQ Obrázek \* ARABIC </w:instrText>
      </w:r>
      <w: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  <w:r>
        <w:t xml:space="preserve">: Nabídky na </w:t>
      </w:r>
      <w:proofErr w:type="spellStart"/>
      <w:r>
        <w:t>neauditorské</w:t>
      </w:r>
      <w:proofErr w:type="spellEnd"/>
      <w:r>
        <w:t xml:space="preserve"> služby (čl. 5 odst.4</w:t>
      </w:r>
      <w:r w:rsidRPr="00A510E7">
        <w:t xml:space="preserve"> </w:t>
      </w:r>
      <w:r>
        <w:t>Nařízení)</w:t>
      </w:r>
      <w:bookmarkEnd w:id="16"/>
    </w:p>
    <w:p w14:paraId="6D9FA017" w14:textId="77777777" w:rsidR="001A3A5A" w:rsidRDefault="001A3A5A" w:rsidP="001A3A5A">
      <w:pPr>
        <w:spacing w:before="0"/>
        <w:rPr>
          <w:u w:val="single"/>
        </w:rPr>
      </w:pPr>
      <w:r>
        <w:rPr>
          <w:noProof/>
          <w:lang w:eastAsia="cs-CZ"/>
        </w:rPr>
        <w:drawing>
          <wp:inline distT="0" distB="0" distL="0" distR="0" wp14:anchorId="4D65AE9D" wp14:editId="50E89407">
            <wp:extent cx="5610225" cy="2295525"/>
            <wp:effectExtent l="0" t="0" r="9525" b="9525"/>
            <wp:docPr id="31" name="Graf 31">
              <a:extLst xmlns:a="http://schemas.openxmlformats.org/drawingml/2006/main">
                <a:ext uri="{FF2B5EF4-FFF2-40B4-BE49-F238E27FC236}">
                  <a16:creationId xmlns:a16="http://schemas.microsoft.com/office/drawing/2014/main" id="{21E8CD7C-36B4-4D06-9409-FF3DD55C12F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14:paraId="1FCD73EA" w14:textId="77777777" w:rsidR="001A3A5A" w:rsidRDefault="001A3A5A" w:rsidP="001A3A5A">
      <w:pPr>
        <w:spacing w:before="0"/>
      </w:pPr>
    </w:p>
    <w:p w14:paraId="27E49EAB" w14:textId="77777777" w:rsidR="001A3A5A" w:rsidRDefault="001A3A5A" w:rsidP="001A3A5A">
      <w:pPr>
        <w:spacing w:before="0"/>
      </w:pPr>
      <w:r>
        <w:t>Na otázku,</w:t>
      </w:r>
      <w:r w:rsidRPr="00AF736F">
        <w:t xml:space="preserve"> </w:t>
      </w:r>
      <w:r>
        <w:t xml:space="preserve">kolik nabídek předložil statutární auditor (auditoři) / auditorská společnost (nebo kterýkoli člen její sítě) subjektu, jeho mateřskému a ovládanému podniku na poskytování </w:t>
      </w:r>
      <w:proofErr w:type="spellStart"/>
      <w:r>
        <w:t>neauditorských</w:t>
      </w:r>
      <w:proofErr w:type="spellEnd"/>
      <w:r>
        <w:t xml:space="preserve"> služeb během sledovaného období odpovědělo 69 % výborů pro audit, že žádná nabídka předložena nebyla.</w:t>
      </w:r>
    </w:p>
    <w:p w14:paraId="08A7C49D" w14:textId="77777777" w:rsidR="001A3A5A" w:rsidRDefault="001A3A5A" w:rsidP="001A3A5A">
      <w:pPr>
        <w:rPr>
          <w:lang w:eastAsia="cs-CZ"/>
        </w:rPr>
      </w:pPr>
      <w:r>
        <w:rPr>
          <w:lang w:eastAsia="cs-CZ"/>
        </w:rPr>
        <w:t xml:space="preserve">Z informací získaných od výborů pro audit v minulých obdobích vyplývá, že ve většině případů auditoři neposkytují </w:t>
      </w:r>
      <w:proofErr w:type="spellStart"/>
      <w:r>
        <w:rPr>
          <w:lang w:eastAsia="cs-CZ"/>
        </w:rPr>
        <w:t>neauditorské</w:t>
      </w:r>
      <w:proofErr w:type="spellEnd"/>
      <w:r>
        <w:rPr>
          <w:lang w:eastAsia="cs-CZ"/>
        </w:rPr>
        <w:t xml:space="preserve"> služby subjektům, kde provádějí audit. Tato informace tak koresponduje s daty uvedenými v grafu.</w:t>
      </w:r>
    </w:p>
    <w:p w14:paraId="272E813F" w14:textId="77777777" w:rsidR="001A3A5A" w:rsidRDefault="001A3A5A" w:rsidP="001A3A5A">
      <w:pPr>
        <w:spacing w:before="0"/>
      </w:pPr>
    </w:p>
    <w:p w14:paraId="3E2108EE" w14:textId="77777777" w:rsidR="001A3A5A" w:rsidRDefault="001A3A5A" w:rsidP="001A3A5A">
      <w:pPr>
        <w:spacing w:before="0"/>
      </w:pPr>
    </w:p>
    <w:p w14:paraId="14607166" w14:textId="77777777" w:rsidR="001A3A5A" w:rsidRDefault="001A3A5A" w:rsidP="001A3A5A">
      <w:pPr>
        <w:spacing w:before="0"/>
      </w:pPr>
      <w:r>
        <w:lastRenderedPageBreak/>
        <w:t xml:space="preserve">Na otázku týkající se </w:t>
      </w:r>
      <w:r w:rsidRPr="00A84AD0">
        <w:t>celkov</w:t>
      </w:r>
      <w:r>
        <w:t>é</w:t>
      </w:r>
      <w:r w:rsidRPr="00A84AD0">
        <w:t xml:space="preserve"> odměn</w:t>
      </w:r>
      <w:r>
        <w:t>y</w:t>
      </w:r>
      <w:r w:rsidRPr="00A84AD0">
        <w:t xml:space="preserve"> související s poskytováním navrhovaných </w:t>
      </w:r>
      <w:proofErr w:type="spellStart"/>
      <w:r w:rsidRPr="00A84AD0">
        <w:t>neauditorských</w:t>
      </w:r>
      <w:proofErr w:type="spellEnd"/>
      <w:r w:rsidRPr="00A84AD0">
        <w:t xml:space="preserve"> služeb jako % z celkové odměny za povinný audit</w:t>
      </w:r>
      <w:r>
        <w:t xml:space="preserve">, odpovědělo 61 % výborů pro audit, že celková odměna </w:t>
      </w:r>
      <w:r w:rsidRPr="00A84AD0">
        <w:t xml:space="preserve">související s poskytováním navrhovaných </w:t>
      </w:r>
      <w:proofErr w:type="spellStart"/>
      <w:r w:rsidRPr="00A84AD0">
        <w:t>neauditorských</w:t>
      </w:r>
      <w:proofErr w:type="spellEnd"/>
      <w:r w:rsidRPr="00A84AD0">
        <w:t xml:space="preserve"> služeb</w:t>
      </w:r>
      <w:r>
        <w:t xml:space="preserve"> činila méně než 10 % </w:t>
      </w:r>
      <w:r w:rsidRPr="00A84AD0">
        <w:t>z celkové odměny za povinný audit</w:t>
      </w:r>
      <w:r>
        <w:t xml:space="preserve"> a 3 % výborů pro audit uvedlo, že celková odměna </w:t>
      </w:r>
      <w:r w:rsidRPr="00A84AD0">
        <w:t xml:space="preserve">související s poskytováním navrhovaných </w:t>
      </w:r>
      <w:proofErr w:type="spellStart"/>
      <w:r w:rsidRPr="00A84AD0">
        <w:t>neauditorských</w:t>
      </w:r>
      <w:proofErr w:type="spellEnd"/>
      <w:r w:rsidRPr="00A84AD0">
        <w:t xml:space="preserve"> služeb</w:t>
      </w:r>
      <w:r>
        <w:t xml:space="preserve"> činila více jak 70 % </w:t>
      </w:r>
      <w:r w:rsidRPr="00A84AD0">
        <w:t>z celkové odměny za povinný audit</w:t>
      </w:r>
      <w:r>
        <w:t>.</w:t>
      </w:r>
    </w:p>
    <w:p w14:paraId="52EB0ED9" w14:textId="77777777" w:rsidR="001A3A5A" w:rsidRDefault="001A3A5A" w:rsidP="001A3A5A">
      <w:pPr>
        <w:spacing w:before="0"/>
      </w:pPr>
    </w:p>
    <w:p w14:paraId="1EA58EE6" w14:textId="77777777" w:rsidR="001A3A5A" w:rsidRDefault="001A3A5A" w:rsidP="001A3A5A">
      <w:pPr>
        <w:spacing w:before="0"/>
      </w:pPr>
      <w:r>
        <w:t xml:space="preserve">Z Nařízení vyplývá, že statutární auditor nebo auditorská společnost provádějící povinný audit subjektů veřejného zájmu a jakýkoli člen sítě, do níž daný statutární auditor nebo auditorská společnost případně patří, může auditovanému subjektu, jeho mateřskému podniku nebo podnikům, které ovládá, poskytovat jiné </w:t>
      </w:r>
      <w:proofErr w:type="spellStart"/>
      <w:r>
        <w:t>neauditorské</w:t>
      </w:r>
      <w:proofErr w:type="spellEnd"/>
      <w:r>
        <w:t xml:space="preserve"> služby než zakázané </w:t>
      </w:r>
      <w:proofErr w:type="spellStart"/>
      <w:r>
        <w:t>neauditorské</w:t>
      </w:r>
      <w:proofErr w:type="spellEnd"/>
      <w:r>
        <w:t xml:space="preserve"> služby, a to za podmínky schválení výborem pro audit po náležitém posouzení možného ohrožení nezávislosti a příslušných záruk. </w:t>
      </w:r>
    </w:p>
    <w:p w14:paraId="5067CEE4" w14:textId="77777777" w:rsidR="001A3A5A" w:rsidRDefault="001A3A5A" w:rsidP="001A3A5A">
      <w:pPr>
        <w:spacing w:before="0"/>
      </w:pPr>
    </w:p>
    <w:p w14:paraId="3978E9A7" w14:textId="77777777" w:rsidR="001A3A5A" w:rsidRDefault="001A3A5A" w:rsidP="001A3A5A">
      <w:pPr>
        <w:spacing w:before="0"/>
      </w:pPr>
      <w:r>
        <w:t xml:space="preserve">Na otázku, zda byly všechny návrhy na </w:t>
      </w:r>
      <w:proofErr w:type="spellStart"/>
      <w:r>
        <w:t>neauditorské</w:t>
      </w:r>
      <w:proofErr w:type="spellEnd"/>
      <w:r>
        <w:t xml:space="preserve"> služby posouzeny výborem pro audit uvedlo 52 % výborů pro audit, že návrhy na </w:t>
      </w:r>
      <w:proofErr w:type="spellStart"/>
      <w:r>
        <w:t>neauditorské</w:t>
      </w:r>
      <w:proofErr w:type="spellEnd"/>
      <w:r>
        <w:t xml:space="preserve"> služby byly výborem pro audit posouzeny. Při posuzování vycházelo 65 % výborů pro audit z návrhů na </w:t>
      </w:r>
      <w:proofErr w:type="spellStart"/>
      <w:r>
        <w:t>neauditorské</w:t>
      </w:r>
      <w:proofErr w:type="spellEnd"/>
      <w:r>
        <w:t xml:space="preserve"> služby předložených auditorem. Návrhy na </w:t>
      </w:r>
      <w:proofErr w:type="spellStart"/>
      <w:r>
        <w:t>neauditorské</w:t>
      </w:r>
      <w:proofErr w:type="spellEnd"/>
      <w:r>
        <w:t xml:space="preserve"> služby byly v 98 % výbory pro audit schváleny. </w:t>
      </w:r>
    </w:p>
    <w:p w14:paraId="6EA889ED" w14:textId="77777777" w:rsidR="001A3A5A" w:rsidRDefault="001A3A5A" w:rsidP="001A3A5A">
      <w:pPr>
        <w:spacing w:before="0"/>
      </w:pPr>
    </w:p>
    <w:p w14:paraId="52C03644" w14:textId="77777777" w:rsidR="001A3A5A" w:rsidRDefault="001A3A5A" w:rsidP="001A3A5A">
      <w:pPr>
        <w:spacing w:before="0"/>
      </w:pPr>
      <w:r>
        <w:t>Na otázku, j</w:t>
      </w:r>
      <w:r w:rsidRPr="000E400D">
        <w:t xml:space="preserve">ak výbor pro audit dohlížel na to, aby vedení subjektu zajistilo, že </w:t>
      </w:r>
      <w:proofErr w:type="spellStart"/>
      <w:r w:rsidRPr="000E400D">
        <w:t>neauditorské</w:t>
      </w:r>
      <w:proofErr w:type="spellEnd"/>
      <w:r w:rsidRPr="000E400D">
        <w:t xml:space="preserve"> služby poskytované statutárním auditorem (auditory) (nebo kterýmkoli členem jeho sítě) byly v souladu se schválenými </w:t>
      </w:r>
      <w:proofErr w:type="spellStart"/>
      <w:r w:rsidRPr="000E400D">
        <w:t>neauditorskými</w:t>
      </w:r>
      <w:proofErr w:type="spellEnd"/>
      <w:r w:rsidRPr="000E400D">
        <w:t xml:space="preserve"> službami (povaha a odměny)</w:t>
      </w:r>
      <w:r>
        <w:t xml:space="preserve"> odpovědělo 27 % výborů pro audit, že si </w:t>
      </w:r>
      <w:r w:rsidRPr="00464A5E">
        <w:t>vyžádal</w:t>
      </w:r>
      <w:r>
        <w:t>o</w:t>
      </w:r>
      <w:r w:rsidRPr="00464A5E">
        <w:t xml:space="preserve"> zpětnou vazbu ohledně </w:t>
      </w:r>
      <w:proofErr w:type="spellStart"/>
      <w:r w:rsidRPr="00464A5E">
        <w:t>neauditorských</w:t>
      </w:r>
      <w:proofErr w:type="spellEnd"/>
      <w:r w:rsidRPr="00464A5E">
        <w:t xml:space="preserve"> služeb, které byly nakonec poskytnuty, aby bylo zajištěno, že jsou v souladu se schválenými navrhovanými </w:t>
      </w:r>
      <w:proofErr w:type="spellStart"/>
      <w:r w:rsidRPr="00464A5E">
        <w:t>neauditorskými</w:t>
      </w:r>
      <w:proofErr w:type="spellEnd"/>
      <w:r w:rsidRPr="00464A5E">
        <w:t xml:space="preserve"> službami</w:t>
      </w:r>
      <w:r>
        <w:t xml:space="preserve"> a 22 % výborů pro audit </w:t>
      </w:r>
      <w:r w:rsidRPr="00464A5E">
        <w:t>požádal</w:t>
      </w:r>
      <w:r>
        <w:t>o</w:t>
      </w:r>
      <w:r w:rsidRPr="00464A5E">
        <w:t xml:space="preserve"> vedení subjektu o zpětnou vazbu ohledně </w:t>
      </w:r>
      <w:proofErr w:type="spellStart"/>
      <w:r w:rsidRPr="00464A5E">
        <w:t>neauditorských</w:t>
      </w:r>
      <w:proofErr w:type="spellEnd"/>
      <w:r w:rsidRPr="00464A5E">
        <w:t xml:space="preserve"> služeb, které byly nakonec poskytnuty, aby se zajistilo, že jsou v souladu se schválenými navrhovanými </w:t>
      </w:r>
      <w:proofErr w:type="spellStart"/>
      <w:r w:rsidRPr="00464A5E">
        <w:t>neauditorskými</w:t>
      </w:r>
      <w:proofErr w:type="spellEnd"/>
      <w:r w:rsidRPr="00464A5E">
        <w:t xml:space="preserve"> službami</w:t>
      </w:r>
      <w:r>
        <w:t>.</w:t>
      </w:r>
    </w:p>
    <w:p w14:paraId="32EEC192" w14:textId="77777777" w:rsidR="001A3A5A" w:rsidRDefault="001A3A5A" w:rsidP="001A3A5A">
      <w:pPr>
        <w:spacing w:before="0"/>
        <w:rPr>
          <w:u w:val="single"/>
        </w:rPr>
      </w:pPr>
    </w:p>
    <w:p w14:paraId="0C84C2FA" w14:textId="77777777" w:rsidR="001A3A5A" w:rsidRDefault="001A3A5A" w:rsidP="001A3A5A">
      <w:pPr>
        <w:spacing w:before="0"/>
      </w:pPr>
      <w:r>
        <w:t xml:space="preserve">Z Nařízení vyplývá, že pokud statutární auditor nebo auditorská společnost poskytuje auditovanému subjektu, jeho mateřskému podniku nebo podnikům, které ovládá, po dobu tří nebo více po sobě jdoucích účetních období </w:t>
      </w:r>
      <w:proofErr w:type="spellStart"/>
      <w:r>
        <w:t>neauditorské</w:t>
      </w:r>
      <w:proofErr w:type="spellEnd"/>
      <w:r>
        <w:t xml:space="preserve"> služby, které nejsou uvedeny v čl. 5 odst. 1 Nařízení, je celková výše odměn za tyto služby omezena na nejvýše 70 % průměru odměn, které byly během posledních tří po sobě jdoucích účetních období zaplaceny za povinný audit či audity auditovaného subjektu a případně jeho matenského podniku, podniků, které ovládá, a konsolidované účetní závěrky dané skupiny podniků. </w:t>
      </w:r>
    </w:p>
    <w:p w14:paraId="5C38A87E" w14:textId="77777777" w:rsidR="001A3A5A" w:rsidRDefault="001A3A5A" w:rsidP="001A3A5A">
      <w:pPr>
        <w:spacing w:before="0"/>
      </w:pPr>
    </w:p>
    <w:p w14:paraId="04A4C20B" w14:textId="77777777" w:rsidR="001A3A5A" w:rsidRDefault="001A3A5A" w:rsidP="001A3A5A">
      <w:pPr>
        <w:spacing w:before="0"/>
      </w:pPr>
      <w:r>
        <w:t>Na otázku, j</w:t>
      </w:r>
      <w:r w:rsidRPr="00051898">
        <w:t xml:space="preserve">ak výbor pro audit sledoval výši odměny související s </w:t>
      </w:r>
      <w:proofErr w:type="spellStart"/>
      <w:r w:rsidRPr="00051898">
        <w:t>neauditorskými</w:t>
      </w:r>
      <w:proofErr w:type="spellEnd"/>
      <w:r w:rsidRPr="00051898">
        <w:t xml:space="preserve"> službami vyplácené statutárnímu auditorovi (auditorům) / auditorské společnosti</w:t>
      </w:r>
      <w:r>
        <w:t xml:space="preserve">, odpovědělo 41 % výborů pro audit, že si vyžádalo </w:t>
      </w:r>
      <w:r w:rsidRPr="00DE3EAE">
        <w:t>informac</w:t>
      </w:r>
      <w:r>
        <w:t>i</w:t>
      </w:r>
      <w:r w:rsidRPr="00DE3EAE">
        <w:t xml:space="preserve"> od subjektu</w:t>
      </w:r>
      <w:r>
        <w:t>, ve kterém výbor pro audit působí</w:t>
      </w:r>
      <w:r w:rsidRPr="00051898">
        <w:t xml:space="preserve"> </w:t>
      </w:r>
      <w:r>
        <w:t>a 29 % výborů pro audit si tuto informaci vyžádalo od auditora.</w:t>
      </w:r>
    </w:p>
    <w:p w14:paraId="3FB4D26C" w14:textId="77777777" w:rsidR="001A3A5A" w:rsidRDefault="001A3A5A" w:rsidP="001A3A5A">
      <w:pPr>
        <w:spacing w:before="0"/>
      </w:pPr>
    </w:p>
    <w:p w14:paraId="16F95C71" w14:textId="77777777" w:rsidR="001A3A5A" w:rsidRDefault="001A3A5A" w:rsidP="001A3A5A">
      <w:pPr>
        <w:spacing w:before="0"/>
      </w:pPr>
      <w:r>
        <w:t xml:space="preserve">Na otázku, zda </w:t>
      </w:r>
      <w:r w:rsidRPr="009730F3">
        <w:t xml:space="preserve">výbor pro audit </w:t>
      </w:r>
      <w:r>
        <w:t>s</w:t>
      </w:r>
      <w:r w:rsidRPr="009730F3">
        <w:t xml:space="preserve">tanovil pro monitorování </w:t>
      </w:r>
      <w:proofErr w:type="spellStart"/>
      <w:r w:rsidRPr="009730F3">
        <w:t>nea</w:t>
      </w:r>
      <w:r>
        <w:t>u</w:t>
      </w:r>
      <w:r w:rsidRPr="009730F3">
        <w:t>ditorských</w:t>
      </w:r>
      <w:proofErr w:type="spellEnd"/>
      <w:r w:rsidRPr="009730F3">
        <w:t xml:space="preserve"> služeb výši odměny za jejich poskytnutí nižší než 70 %, </w:t>
      </w:r>
      <w:r>
        <w:t>odpovědělo 98 % výborů pro audit, že nižší limit</w:t>
      </w:r>
      <w:r w:rsidRPr="00472726">
        <w:t xml:space="preserve"> </w:t>
      </w:r>
      <w:r>
        <w:t>nestanovilo.</w:t>
      </w:r>
    </w:p>
    <w:p w14:paraId="775C2168" w14:textId="77777777" w:rsidR="001A3A5A" w:rsidRDefault="001A3A5A" w:rsidP="001A3A5A">
      <w:pPr>
        <w:spacing w:before="0"/>
      </w:pPr>
    </w:p>
    <w:p w14:paraId="247A8220" w14:textId="77777777" w:rsidR="001A3A5A" w:rsidRDefault="001A3A5A" w:rsidP="001A3A5A">
      <w:pPr>
        <w:spacing w:before="0"/>
      </w:pPr>
      <w:r>
        <w:t xml:space="preserve">Na otázku, zda </w:t>
      </w:r>
      <w:r w:rsidRPr="00521FCF">
        <w:t xml:space="preserve">výbor pro audit </w:t>
      </w:r>
      <w:r>
        <w:t>p</w:t>
      </w:r>
      <w:r w:rsidRPr="00521FCF">
        <w:t xml:space="preserve">rovedl posouzení výpočtu provedeného subjektem ve vztahu k povolenému limitu odměny za </w:t>
      </w:r>
      <w:proofErr w:type="spellStart"/>
      <w:r w:rsidRPr="00521FCF">
        <w:t>neauditorské</w:t>
      </w:r>
      <w:proofErr w:type="spellEnd"/>
      <w:r w:rsidRPr="00521FCF">
        <w:t xml:space="preserve"> služby ve výši 70 %</w:t>
      </w:r>
      <w:r>
        <w:t xml:space="preserve">, odpovědělo 67 % výborů pro audit, že posouzení výpočtu provedeno nebylo. Pokud byl </w:t>
      </w:r>
      <w:r w:rsidRPr="00E05E09">
        <w:t xml:space="preserve">limit odměny za </w:t>
      </w:r>
      <w:proofErr w:type="spellStart"/>
      <w:r w:rsidRPr="00E05E09">
        <w:t>neauditorské</w:t>
      </w:r>
      <w:proofErr w:type="spellEnd"/>
      <w:r w:rsidRPr="00E05E09">
        <w:t xml:space="preserve"> služby v</w:t>
      </w:r>
      <w:r>
        <w:t xml:space="preserve">ýborem pro audit </w:t>
      </w:r>
      <w:r w:rsidRPr="00E05E09">
        <w:t>počítán</w:t>
      </w:r>
      <w:r>
        <w:t>, pak 52 % výborů pro audit uvedlo, že v</w:t>
      </w:r>
      <w:r w:rsidRPr="00E05E09">
        <w:t xml:space="preserve">šechny výpočty </w:t>
      </w:r>
      <w:r>
        <w:t>byly</w:t>
      </w:r>
      <w:r w:rsidRPr="00E05E09">
        <w:t xml:space="preserve"> prováděny na úrovni skupiny pro SVZ, který je konsolidující účetní jednotkou</w:t>
      </w:r>
      <w:r>
        <w:t xml:space="preserve"> a 33 % výborů pro audit uvedlo, že výpočet byl proveden na úrovni společnosti, protože se nejedná o skupinovou strukturu.</w:t>
      </w:r>
    </w:p>
    <w:p w14:paraId="0ADEDC78" w14:textId="77777777" w:rsidR="001A3A5A" w:rsidRDefault="001A3A5A" w:rsidP="001A3A5A">
      <w:pPr>
        <w:spacing w:before="0"/>
      </w:pPr>
      <w:r>
        <w:t>Na otázku, j</w:t>
      </w:r>
      <w:r w:rsidRPr="002A4204">
        <w:t xml:space="preserve">aké úrovně limitu odměn za </w:t>
      </w:r>
      <w:proofErr w:type="spellStart"/>
      <w:r w:rsidRPr="002A4204">
        <w:t>neauditorské</w:t>
      </w:r>
      <w:proofErr w:type="spellEnd"/>
      <w:r w:rsidRPr="002A4204">
        <w:t xml:space="preserve"> služby dosáhl statutární auditor (auditoři) / auditorská společnost během sledovaného období</w:t>
      </w:r>
      <w:r>
        <w:t xml:space="preserve"> odpovědělo 42 % výborů pro audit, že auditor dosáhl úrovně 0 % a 21 % výborů pro audit uvedlo, že auditor dosáhl úrovně mezi 10 % - 20 %.</w:t>
      </w:r>
    </w:p>
    <w:p w14:paraId="22BCAF14" w14:textId="77777777" w:rsidR="001A3A5A" w:rsidRPr="00051898" w:rsidRDefault="001A3A5A" w:rsidP="001A3A5A">
      <w:pPr>
        <w:spacing w:before="0"/>
      </w:pPr>
    </w:p>
    <w:p w14:paraId="3B9550AE" w14:textId="77777777" w:rsidR="001A3A5A" w:rsidRDefault="001A3A5A" w:rsidP="001A3A5A">
      <w:pPr>
        <w:spacing w:before="0" w:after="160" w:line="259" w:lineRule="auto"/>
        <w:jc w:val="left"/>
        <w:rPr>
          <w:rFonts w:eastAsiaTheme="majorEastAsia"/>
          <w:b/>
          <w:color w:val="000000" w:themeColor="text1"/>
        </w:rPr>
      </w:pPr>
      <w:bookmarkStart w:id="17" w:name="_Toc130460033"/>
      <w:r>
        <w:br w:type="page"/>
      </w:r>
    </w:p>
    <w:p w14:paraId="6A4508D0" w14:textId="77777777" w:rsidR="001A3A5A" w:rsidRDefault="001A3A5A" w:rsidP="001A3A5A">
      <w:pPr>
        <w:pStyle w:val="Nadpis2"/>
      </w:pPr>
      <w:r w:rsidRPr="00911CAA">
        <w:lastRenderedPageBreak/>
        <w:t>Výběr auditora</w:t>
      </w:r>
      <w:bookmarkEnd w:id="17"/>
    </w:p>
    <w:p w14:paraId="756FF916" w14:textId="77777777" w:rsidR="001A3A5A" w:rsidRDefault="001A3A5A" w:rsidP="001A3A5A">
      <w:pPr>
        <w:spacing w:before="0"/>
      </w:pPr>
    </w:p>
    <w:p w14:paraId="63B3C5EA" w14:textId="77777777" w:rsidR="001A3A5A" w:rsidRDefault="001A3A5A" w:rsidP="001A3A5A">
      <w:pPr>
        <w:pStyle w:val="Titulek"/>
        <w:keepNext/>
      </w:pPr>
      <w:bookmarkStart w:id="18" w:name="_Toc131065959"/>
      <w:r>
        <w:t xml:space="preserve">Obrázek </w:t>
      </w:r>
      <w:r>
        <w:fldChar w:fldCharType="begin"/>
      </w:r>
      <w:r>
        <w:instrText xml:space="preserve"> SEQ Obrázek \* ARABIC </w:instrText>
      </w:r>
      <w: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  <w:r>
        <w:t>: Jmenování auditora (čl. 13 odst.3</w:t>
      </w:r>
      <w:r w:rsidRPr="00A510E7">
        <w:t xml:space="preserve"> </w:t>
      </w:r>
      <w:r>
        <w:t>Nařízení)</w:t>
      </w:r>
      <w:bookmarkEnd w:id="18"/>
    </w:p>
    <w:p w14:paraId="02BC84D8" w14:textId="77777777" w:rsidR="001A3A5A" w:rsidRDefault="001A3A5A" w:rsidP="001A3A5A">
      <w:pPr>
        <w:spacing w:before="0"/>
      </w:pPr>
      <w:r>
        <w:rPr>
          <w:noProof/>
        </w:rPr>
        <w:drawing>
          <wp:inline distT="0" distB="0" distL="0" distR="0" wp14:anchorId="0583A5F7" wp14:editId="2682AAE8">
            <wp:extent cx="5640779" cy="2351314"/>
            <wp:effectExtent l="0" t="0" r="17145" b="11430"/>
            <wp:docPr id="14" name="Graf 14">
              <a:extLst xmlns:a="http://schemas.openxmlformats.org/drawingml/2006/main">
                <a:ext uri="{FF2B5EF4-FFF2-40B4-BE49-F238E27FC236}">
                  <a16:creationId xmlns:a16="http://schemas.microsoft.com/office/drawing/2014/main" id="{5013F1B2-C279-4528-BE42-233D3A85621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14:paraId="1540F5FD" w14:textId="77777777" w:rsidR="001A3A5A" w:rsidRDefault="001A3A5A" w:rsidP="001A3A5A">
      <w:pPr>
        <w:spacing w:before="0"/>
      </w:pPr>
    </w:p>
    <w:p w14:paraId="7829A222" w14:textId="77777777" w:rsidR="001A3A5A" w:rsidRDefault="001A3A5A" w:rsidP="001A3A5A">
      <w:pPr>
        <w:spacing w:before="0"/>
      </w:pPr>
      <w:r>
        <w:t>B</w:t>
      </w:r>
      <w:r w:rsidRPr="00CE6025">
        <w:t xml:space="preserve">ěhem sledovaného období </w:t>
      </w:r>
      <w:r>
        <w:t>byl u 13 % subjektů jmenován nový auditor a u 16 % subjektů došlo k opětovnému jmenování stávajícího auditora. Důvodem výběrového řízení byla ve většině případů z</w:t>
      </w:r>
      <w:r w:rsidRPr="00C01427">
        <w:t xml:space="preserve">ákonná povinnost rotace </w:t>
      </w:r>
      <w:r>
        <w:t xml:space="preserve">či </w:t>
      </w:r>
      <w:r w:rsidRPr="00C01427">
        <w:t>uplynutí maximální povolené doby trvání</w:t>
      </w:r>
      <w:r>
        <w:t xml:space="preserve">. V případě, že byl jmenován nový auditor, prováděl u 48 % subjektů předchozí auditor audit po dobu 1–5 let a u 30 % subjektů po dobu 6–10 let. </w:t>
      </w:r>
    </w:p>
    <w:p w14:paraId="703DDE2C" w14:textId="77777777" w:rsidR="001A3A5A" w:rsidRPr="00472726" w:rsidRDefault="001A3A5A" w:rsidP="001A3A5A">
      <w:pPr>
        <w:spacing w:before="0"/>
        <w:rPr>
          <w:u w:val="single"/>
        </w:rPr>
      </w:pPr>
    </w:p>
    <w:p w14:paraId="10812683" w14:textId="77777777" w:rsidR="001A3A5A" w:rsidRDefault="001A3A5A" w:rsidP="001A3A5A">
      <w:pPr>
        <w:spacing w:before="0"/>
      </w:pPr>
      <w:r>
        <w:t>Na otázku, j</w:t>
      </w:r>
      <w:r w:rsidRPr="00472726">
        <w:t>aké úkoly plnil výbor pro audit během výběrového řízení</w:t>
      </w:r>
      <w:r>
        <w:t xml:space="preserve"> odpovědělo 37 % výborů pro audit, že p</w:t>
      </w:r>
      <w:r w:rsidRPr="00472726">
        <w:t>oskyt</w:t>
      </w:r>
      <w:r>
        <w:t>lo</w:t>
      </w:r>
      <w:r w:rsidRPr="00472726">
        <w:t xml:space="preserve"> doporučení na základě posouzení nabídek</w:t>
      </w:r>
      <w:r>
        <w:t xml:space="preserve"> a 27 % výborů pro audit uvedlo, že p</w:t>
      </w:r>
      <w:r w:rsidRPr="00553747">
        <w:t>osou</w:t>
      </w:r>
      <w:r>
        <w:t>dilo</w:t>
      </w:r>
      <w:r w:rsidRPr="00553747">
        <w:t xml:space="preserve"> analýzy návrhů připravených vedením</w:t>
      </w:r>
      <w:r>
        <w:t>.</w:t>
      </w:r>
    </w:p>
    <w:p w14:paraId="45AF320D" w14:textId="77777777" w:rsidR="001A3A5A" w:rsidRDefault="001A3A5A" w:rsidP="001A3A5A">
      <w:pPr>
        <w:spacing w:before="0"/>
      </w:pPr>
    </w:p>
    <w:p w14:paraId="6D1FFAFB" w14:textId="77777777" w:rsidR="001A3A5A" w:rsidRDefault="001A3A5A" w:rsidP="001A3A5A">
      <w:pPr>
        <w:spacing w:before="0"/>
      </w:pPr>
      <w:r>
        <w:t>Na otázku, k</w:t>
      </w:r>
      <w:r w:rsidRPr="008D53F8">
        <w:t>olik statutárních auditorů / auditorských společností bylo přizváno k účasti ve výběrovém řízení</w:t>
      </w:r>
      <w:r>
        <w:t>, odpovědělo 48 % výborů pro audit, že pozvalo 2-3 auditory/auditorské společnosti a 29 % výborů pro audit pozvalo 4-7 auditorů/auditorských společností.</w:t>
      </w:r>
    </w:p>
    <w:p w14:paraId="7EEC5C5A" w14:textId="77777777" w:rsidR="001A3A5A" w:rsidRDefault="001A3A5A" w:rsidP="001A3A5A">
      <w:pPr>
        <w:spacing w:before="0"/>
      </w:pPr>
    </w:p>
    <w:p w14:paraId="4C9FDB8F" w14:textId="77777777" w:rsidR="001A3A5A" w:rsidRDefault="001A3A5A" w:rsidP="001A3A5A">
      <w:pPr>
        <w:spacing w:before="0"/>
      </w:pPr>
      <w:r>
        <w:t xml:space="preserve">Výbory pro audit uvedli, a to ve většině případů, že </w:t>
      </w:r>
      <w:r w:rsidRPr="003D5E85">
        <w:t xml:space="preserve">subjekt </w:t>
      </w:r>
      <w:r>
        <w:t xml:space="preserve">nezveřejnil </w:t>
      </w:r>
      <w:r w:rsidRPr="003D5E85">
        <w:t>nabídku (žádost), aby umožnil účast i nepozvaných statutárních auditorů/auditorských společností</w:t>
      </w:r>
      <w:r>
        <w:t>. Zároveň výbory pro audit uvedli, a to ve většině případů, že požadavku na to, j</w:t>
      </w:r>
      <w:r w:rsidRPr="00736A41">
        <w:t>ak výbor pro audit zajistil, aby menším statutárním auditorům/auditorským společnostem (s méně než 15% podílem na příjmech z odměn za audit subjektu veřejného zájmu v</w:t>
      </w:r>
      <w:r>
        <w:t> České republice</w:t>
      </w:r>
      <w:r w:rsidRPr="00736A41">
        <w:t>) nebylo bráněno v účasti na výběrovém řízení</w:t>
      </w:r>
      <w:r>
        <w:t xml:space="preserve">, </w:t>
      </w:r>
      <w:r w:rsidRPr="00736A41">
        <w:t>nebyla věnována pozornost</w:t>
      </w:r>
      <w:r>
        <w:t>.</w:t>
      </w:r>
    </w:p>
    <w:p w14:paraId="2BB6E853" w14:textId="77777777" w:rsidR="001A3A5A" w:rsidRDefault="001A3A5A" w:rsidP="001A3A5A">
      <w:pPr>
        <w:spacing w:before="0"/>
      </w:pPr>
    </w:p>
    <w:p w14:paraId="22FB76CB" w14:textId="77777777" w:rsidR="001A3A5A" w:rsidRDefault="001A3A5A" w:rsidP="001A3A5A">
      <w:pPr>
        <w:spacing w:before="0"/>
      </w:pPr>
      <w:r>
        <w:t>Nařízení uvádí, že auditovaný subjekt vypracuje zadávací dokumentaci určenou vyzvaným statutárním auditorům nebo auditorským společnostem. Tato zadávací dokumentace jim musí umožnit pochopit činnost auditovaného subjektu a typ povinného auditu, který má být proveden. Zadávací dokumentace musí obsahovat průhledná a nediskriminační kritéria výběru, která auditovaný subjekt použije pro hodnocení nabídek předložených statutárními auditory nebo auditorskými společnostmi. Většina výborů pro audit ve své zprávě</w:t>
      </w:r>
      <w:r w:rsidRPr="00B174F1">
        <w:t xml:space="preserve"> </w:t>
      </w:r>
      <w:r>
        <w:t>uvedla, že zadávací dokumentace byla odeslána vybraným auditorským společnostem. S</w:t>
      </w:r>
      <w:r w:rsidRPr="00316C85">
        <w:t xml:space="preserve">tatutárnímu auditorovi (auditorům) </w:t>
      </w:r>
      <w:r>
        <w:t>či</w:t>
      </w:r>
      <w:r w:rsidRPr="00316C85">
        <w:t xml:space="preserve"> auditorské společnosti (společnostem) </w:t>
      </w:r>
      <w:r>
        <w:t xml:space="preserve">byla </w:t>
      </w:r>
      <w:r w:rsidRPr="00316C85">
        <w:t>v rámci výběrového řízení</w:t>
      </w:r>
      <w:r>
        <w:t xml:space="preserve"> ve většině případů poskytnuta poslední účetní závěrka či konsolidovaná účetní závěrka.</w:t>
      </w:r>
    </w:p>
    <w:p w14:paraId="24091DE5" w14:textId="77777777" w:rsidR="001A3A5A" w:rsidRDefault="001A3A5A" w:rsidP="001A3A5A">
      <w:pPr>
        <w:spacing w:before="0"/>
      </w:pPr>
    </w:p>
    <w:p w14:paraId="0CCC8CFF" w14:textId="77777777" w:rsidR="001A3A5A" w:rsidRDefault="001A3A5A" w:rsidP="001A3A5A">
      <w:pPr>
        <w:spacing w:before="0"/>
      </w:pPr>
      <w:r>
        <w:t xml:space="preserve">Pokud se výběrového řízení účastnil stávající auditor, obdržel, podle informací uvedených ve zprávách o činnosti výborů pro audit, stejné informace jako ostatní účastníci výběrového řízení.  </w:t>
      </w:r>
    </w:p>
    <w:p w14:paraId="1E49CBF6" w14:textId="77777777" w:rsidR="001A3A5A" w:rsidRDefault="001A3A5A" w:rsidP="001A3A5A">
      <w:pPr>
        <w:spacing w:before="0"/>
      </w:pPr>
    </w:p>
    <w:p w14:paraId="10224E1F" w14:textId="77777777" w:rsidR="001A3A5A" w:rsidRDefault="001A3A5A" w:rsidP="001A3A5A">
      <w:pPr>
        <w:spacing w:before="0"/>
      </w:pPr>
      <w:r>
        <w:t>Výbory pro audit dále uvedly, že ve většině případů předložili nabídku 2-3 statutární auditoři/auditorské společnosti.</w:t>
      </w:r>
    </w:p>
    <w:p w14:paraId="0F1BC61E" w14:textId="77777777" w:rsidR="001A3A5A" w:rsidRDefault="001A3A5A" w:rsidP="001A3A5A">
      <w:pPr>
        <w:spacing w:before="0"/>
      </w:pPr>
    </w:p>
    <w:p w14:paraId="378C31FC" w14:textId="77777777" w:rsidR="001A3A5A" w:rsidRDefault="001A3A5A" w:rsidP="001A3A5A">
      <w:pPr>
        <w:spacing w:before="0"/>
      </w:pPr>
      <w:r>
        <w:lastRenderedPageBreak/>
        <w:t>Na otázku, j</w:t>
      </w:r>
      <w:r w:rsidRPr="00B2126E">
        <w:t>aká kritéria výběru použil výbor pro audit při hodnocení nabídek</w:t>
      </w:r>
      <w:r>
        <w:t xml:space="preserve"> a j</w:t>
      </w:r>
      <w:r w:rsidRPr="00B2126E">
        <w:t>aké byly konkrétní váhy</w:t>
      </w:r>
      <w:r>
        <w:t>, odpověděla většina výborů pro audit, že klíčovými kritérii byly</w:t>
      </w:r>
      <w:r w:rsidRPr="00B2126E">
        <w:t xml:space="preserve"> </w:t>
      </w:r>
      <w:r>
        <w:t>k</w:t>
      </w:r>
      <w:r w:rsidRPr="00B2126E">
        <w:t>ompetence, technické znalosti a</w:t>
      </w:r>
      <w:r>
        <w:t> </w:t>
      </w:r>
      <w:r w:rsidRPr="00B2126E">
        <w:t>zkušenosti týmu odpovědného za zakázku a zejména klíčového auditorského partnera</w:t>
      </w:r>
      <w:r>
        <w:t xml:space="preserve"> a z</w:t>
      </w:r>
      <w:r w:rsidRPr="00B2126E">
        <w:t xml:space="preserve">nalosti </w:t>
      </w:r>
      <w:r>
        <w:t>či</w:t>
      </w:r>
      <w:r w:rsidRPr="00B2126E">
        <w:t xml:space="preserve"> zkušenosti specifické pro dané odvětví</w:t>
      </w:r>
      <w:r>
        <w:t>, ve kterém subjekt působí.</w:t>
      </w:r>
    </w:p>
    <w:p w14:paraId="18665628" w14:textId="77777777" w:rsidR="001A3A5A" w:rsidRDefault="001A3A5A" w:rsidP="001A3A5A">
      <w:pPr>
        <w:spacing w:before="0"/>
      </w:pPr>
    </w:p>
    <w:p w14:paraId="29040C8E" w14:textId="77777777" w:rsidR="001A3A5A" w:rsidRDefault="001A3A5A" w:rsidP="001A3A5A">
      <w:pPr>
        <w:spacing w:before="0"/>
      </w:pPr>
      <w:r>
        <w:t>Na otázku, j</w:t>
      </w:r>
      <w:r w:rsidRPr="00A21BA1">
        <w:t>aký počet statutárních auditorů/auditorských společností doporučil výbor pro audit řídicímu nebo kontrolnímu orgánu subjektu ke jmenování</w:t>
      </w:r>
      <w:r>
        <w:t>, odpověděla většina výborů pro audit, že doporučila jednoho auditora/auditorskou společnost.</w:t>
      </w:r>
    </w:p>
    <w:p w14:paraId="1B627D21" w14:textId="77777777" w:rsidR="001A3A5A" w:rsidRDefault="001A3A5A" w:rsidP="001A3A5A">
      <w:pPr>
        <w:spacing w:before="0"/>
      </w:pPr>
    </w:p>
    <w:p w14:paraId="2C6710CA" w14:textId="77777777" w:rsidR="001A3A5A" w:rsidRDefault="001A3A5A" w:rsidP="001A3A5A">
      <w:pPr>
        <w:spacing w:before="0"/>
      </w:pPr>
      <w:r>
        <w:t>Na otázku, j</w:t>
      </w:r>
      <w:r w:rsidRPr="004E02A2">
        <w:t>ak výbor pro audit dospěl k řádně odůvodněné preferenci jednoho statutárního auditora/auditorské společnosti</w:t>
      </w:r>
      <w:r>
        <w:t>, odpověděla většina výborů pro audit, že provedla k</w:t>
      </w:r>
      <w:r w:rsidRPr="004E02A2">
        <w:t>ontrol</w:t>
      </w:r>
      <w:r>
        <w:t>u</w:t>
      </w:r>
      <w:r w:rsidRPr="004E02A2">
        <w:t xml:space="preserve"> zadávací dokumentace všech kandidátů</w:t>
      </w:r>
      <w:r>
        <w:t>.</w:t>
      </w:r>
    </w:p>
    <w:p w14:paraId="08FBD8E6" w14:textId="77777777" w:rsidR="001A3A5A" w:rsidRDefault="001A3A5A" w:rsidP="001A3A5A">
      <w:pPr>
        <w:spacing w:before="0"/>
      </w:pPr>
    </w:p>
    <w:p w14:paraId="40BC95EB" w14:textId="77777777" w:rsidR="001A3A5A" w:rsidRDefault="001A3A5A" w:rsidP="001A3A5A">
      <w:pPr>
        <w:spacing w:before="0"/>
      </w:pPr>
      <w:r>
        <w:t xml:space="preserve">Výbory pro audit dále uvedly, že </w:t>
      </w:r>
      <w:r w:rsidRPr="001C1CCE">
        <w:t xml:space="preserve">návrh předložený na valné hromadě řídicím nebo kontrolní orgánem </w:t>
      </w:r>
      <w:r>
        <w:t xml:space="preserve">byl </w:t>
      </w:r>
      <w:r w:rsidRPr="001C1CCE">
        <w:t>v souladu s doporučením výboru pro audit</w:t>
      </w:r>
      <w:r>
        <w:t>.</w:t>
      </w:r>
    </w:p>
    <w:p w14:paraId="1DD03236" w14:textId="77777777" w:rsidR="001A3A5A" w:rsidRDefault="001A3A5A" w:rsidP="001A3A5A">
      <w:pPr>
        <w:spacing w:before="0"/>
      </w:pPr>
    </w:p>
    <w:p w14:paraId="5723134A" w14:textId="77777777" w:rsidR="001A3A5A" w:rsidRDefault="001A3A5A" w:rsidP="001A3A5A">
      <w:pPr>
        <w:spacing w:before="0"/>
      </w:pPr>
      <w:r>
        <w:t>Na dotaz, j</w:t>
      </w:r>
      <w:r w:rsidRPr="00C51F46">
        <w:t>ak výbor pro audit vyhodnotil dopad rotace auditorů</w:t>
      </w:r>
      <w:r>
        <w:t>, odpovědělo 26 % výborů, že je p</w:t>
      </w:r>
      <w:r w:rsidRPr="00C51F46">
        <w:t>říliš brzy na to, aby bylo možné provést posouzení rotace auditorů</w:t>
      </w:r>
      <w:r>
        <w:t>, dalších 26 % výborů pro audit uvedlo p</w:t>
      </w:r>
      <w:r w:rsidRPr="00C51F46">
        <w:t>ozitivní hodnocení</w:t>
      </w:r>
      <w:r>
        <w:t xml:space="preserve"> zejména</w:t>
      </w:r>
      <w:r w:rsidRPr="00C51F46">
        <w:t xml:space="preserve"> z hlediska znalostí klienta</w:t>
      </w:r>
      <w:r>
        <w:t xml:space="preserve"> a 13 % výborů pro audit uvedlo p</w:t>
      </w:r>
      <w:r w:rsidRPr="00833A76">
        <w:t>ozitivní hodnocení z hlediska nového přístupu k auditu a nové perspektivy auditora</w:t>
      </w:r>
      <w:r>
        <w:t>.</w:t>
      </w:r>
    </w:p>
    <w:p w14:paraId="77A7D745" w14:textId="77777777" w:rsidR="001A3A5A" w:rsidRDefault="001A3A5A" w:rsidP="001A3A5A">
      <w:pPr>
        <w:pStyle w:val="Nadpis2"/>
        <w:spacing w:before="0"/>
      </w:pPr>
      <w:bookmarkStart w:id="19" w:name="_Toc130460040"/>
      <w:r w:rsidRPr="00911CAA">
        <w:t>Sledování procesu povinného auditu</w:t>
      </w:r>
      <w:bookmarkEnd w:id="19"/>
    </w:p>
    <w:p w14:paraId="7CFA66A7" w14:textId="77777777" w:rsidR="001A3A5A" w:rsidRDefault="001A3A5A" w:rsidP="001A3A5A">
      <w:pPr>
        <w:spacing w:before="0"/>
      </w:pPr>
    </w:p>
    <w:p w14:paraId="2D4106C9" w14:textId="77777777" w:rsidR="001A3A5A" w:rsidRDefault="001A3A5A" w:rsidP="001A3A5A">
      <w:pPr>
        <w:spacing w:before="0"/>
      </w:pPr>
      <w:r>
        <w:t>Frekvence setkávání výboru pro audit s auditorem není legislativně stanovena, proto záleží na každém výboru pro audit, kolikrát se chce během sledovaného období se statutárním auditorem (například z důvodu sledování realizace plánu auditu a časového harmonogramu, projednání zprávy auditora, k diskusi o významných transakcích/záležitostech nebo změnách v obchodní činnosti apod.) setkat.</w:t>
      </w:r>
    </w:p>
    <w:p w14:paraId="32AE1913" w14:textId="77777777" w:rsidR="001A3A5A" w:rsidRDefault="001A3A5A" w:rsidP="001A3A5A">
      <w:pPr>
        <w:spacing w:before="0"/>
      </w:pPr>
    </w:p>
    <w:p w14:paraId="5C04AF63" w14:textId="77777777" w:rsidR="001A3A5A" w:rsidRDefault="001A3A5A" w:rsidP="001A3A5A">
      <w:pPr>
        <w:spacing w:before="0"/>
      </w:pPr>
      <w:r>
        <w:t>S</w:t>
      </w:r>
      <w:r w:rsidRPr="00363757">
        <w:t>ledované období je definováno jako časový interval (obvykle 12 měsíců) mezi řádnou valnou hromadou, na které byla schválena statutární závěrka, a řádnou valnou hromadou, na které byla schválena závěrka za předchozí rok.</w:t>
      </w:r>
    </w:p>
    <w:p w14:paraId="3AC95FBA" w14:textId="77777777" w:rsidR="001A3A5A" w:rsidRDefault="001A3A5A" w:rsidP="001A3A5A">
      <w:pPr>
        <w:spacing w:before="0"/>
      </w:pPr>
    </w:p>
    <w:p w14:paraId="5A6A3896" w14:textId="77777777" w:rsidR="001A3A5A" w:rsidRDefault="001A3A5A" w:rsidP="001A3A5A">
      <w:pPr>
        <w:spacing w:before="0"/>
      </w:pPr>
      <w:r w:rsidRPr="00363757">
        <w:t>V případě, že neexistuje povinnost schválení statutární závěrky valnou hromadou, je sledované období definováno jako časový interval (obvykle 12 měsíců) mezi datem schválení poslední účetní závěrky představenstvem a datem schválení závěrky představenstvem za předcházející finanční rok.</w:t>
      </w:r>
    </w:p>
    <w:p w14:paraId="3809C06A" w14:textId="77777777" w:rsidR="001A3A5A" w:rsidRDefault="001A3A5A" w:rsidP="001A3A5A">
      <w:pPr>
        <w:spacing w:before="0"/>
      </w:pPr>
    </w:p>
    <w:p w14:paraId="692767E4" w14:textId="77777777" w:rsidR="001A3A5A" w:rsidRDefault="001A3A5A" w:rsidP="001A3A5A">
      <w:pPr>
        <w:pStyle w:val="Titulek"/>
        <w:keepNext/>
        <w:spacing w:before="0"/>
      </w:pPr>
      <w:bookmarkStart w:id="20" w:name="_Toc131065960"/>
      <w:r>
        <w:t xml:space="preserve">Obrázek </w:t>
      </w:r>
      <w:r>
        <w:fldChar w:fldCharType="begin"/>
      </w:r>
      <w:r>
        <w:instrText xml:space="preserve"> SEQ Obrázek \* ARABIC </w:instrText>
      </w:r>
      <w: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  <w:r>
        <w:t>: Frekvence setkávání výboru pro audit s auditorem za účasti vedení</w:t>
      </w:r>
      <w:bookmarkEnd w:id="20"/>
    </w:p>
    <w:p w14:paraId="27C97750" w14:textId="77777777" w:rsidR="001A3A5A" w:rsidRDefault="001A3A5A" w:rsidP="001A3A5A">
      <w:pPr>
        <w:spacing w:before="0"/>
      </w:pPr>
      <w:r>
        <w:rPr>
          <w:noProof/>
          <w:lang w:eastAsia="cs-CZ"/>
        </w:rPr>
        <w:drawing>
          <wp:inline distT="0" distB="0" distL="0" distR="0" wp14:anchorId="7DE34644" wp14:editId="130BA38E">
            <wp:extent cx="5661329" cy="1914525"/>
            <wp:effectExtent l="0" t="0" r="15875" b="9525"/>
            <wp:docPr id="19" name="Graf 19">
              <a:extLst xmlns:a="http://schemas.openxmlformats.org/drawingml/2006/main">
                <a:ext uri="{FF2B5EF4-FFF2-40B4-BE49-F238E27FC236}">
                  <a16:creationId xmlns:a16="http://schemas.microsoft.com/office/drawing/2014/main" id="{FA3221C3-86E4-42F2-BD4F-A0A1EB406D3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14:paraId="76F2F799" w14:textId="77777777" w:rsidR="001A3A5A" w:rsidRDefault="001A3A5A" w:rsidP="001A3A5A">
      <w:pPr>
        <w:spacing w:before="0"/>
      </w:pPr>
    </w:p>
    <w:p w14:paraId="6211A9FB" w14:textId="77777777" w:rsidR="001A3A5A" w:rsidRPr="00394941" w:rsidRDefault="001A3A5A" w:rsidP="001A3A5A">
      <w:pPr>
        <w:spacing w:before="0"/>
      </w:pPr>
      <w:r>
        <w:t>Výbory pro audit</w:t>
      </w:r>
      <w:r w:rsidRPr="00DA121F">
        <w:t xml:space="preserve"> </w:t>
      </w:r>
      <w:r>
        <w:t xml:space="preserve">uvedly, že setkávání výboru pro audit s auditorem probíhalo v 25 % (dvě setkání) za účasti vedení auditovaného subjektu. </w:t>
      </w:r>
      <w:r w:rsidRPr="00394941">
        <w:t>V porovnání s daty získanými v</w:t>
      </w:r>
      <w:r>
        <w:t xml:space="preserve"> předchozích letech </w:t>
      </w:r>
      <w:r w:rsidRPr="00394941">
        <w:t>nedošlo v této oblasti k žádné změně, protože i</w:t>
      </w:r>
      <w:r>
        <w:t> </w:t>
      </w:r>
      <w:r w:rsidRPr="00394941">
        <w:t xml:space="preserve">v minulosti uvedla většina výborů pro audit, že se ve sledovaném období sešla s auditorem </w:t>
      </w:r>
      <w:r>
        <w:t xml:space="preserve">nejčastěji </w:t>
      </w:r>
      <w:r w:rsidRPr="00394941">
        <w:t>dvakrát.</w:t>
      </w:r>
    </w:p>
    <w:p w14:paraId="5AB2F6B2" w14:textId="77777777" w:rsidR="001A3A5A" w:rsidRDefault="001A3A5A" w:rsidP="001A3A5A">
      <w:pPr>
        <w:spacing w:before="0"/>
      </w:pPr>
    </w:p>
    <w:p w14:paraId="1EAEF5D0" w14:textId="77777777" w:rsidR="001A3A5A" w:rsidRDefault="001A3A5A" w:rsidP="001A3A5A">
      <w:pPr>
        <w:spacing w:before="0"/>
      </w:pPr>
      <w:r>
        <w:t>Směrnice uvádí, že výbor pro audit sleduje povinný audit ročních a konsolidovaných účetních závěrek, zejména jeho provádění, přičemž zohledňuje veškerá zjištění a závěry Rady podle čl. 26 odst. 6 Nařízení.</w:t>
      </w:r>
    </w:p>
    <w:p w14:paraId="3918FCA9" w14:textId="77777777" w:rsidR="001A3A5A" w:rsidRDefault="001A3A5A" w:rsidP="001A3A5A">
      <w:pPr>
        <w:spacing w:before="0"/>
      </w:pPr>
    </w:p>
    <w:p w14:paraId="0EA1BFE8" w14:textId="77777777" w:rsidR="001A3A5A" w:rsidRDefault="001A3A5A" w:rsidP="001A3A5A">
      <w:pPr>
        <w:pStyle w:val="Titulek"/>
        <w:keepNext/>
        <w:spacing w:before="0"/>
      </w:pPr>
      <w:bookmarkStart w:id="21" w:name="_Toc131065961"/>
      <w:r>
        <w:lastRenderedPageBreak/>
        <w:t xml:space="preserve">Obrázek </w:t>
      </w:r>
      <w:r>
        <w:fldChar w:fldCharType="begin"/>
      </w:r>
      <w:r>
        <w:instrText xml:space="preserve"> SEQ Obrázek \* ARABIC </w:instrText>
      </w:r>
      <w: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  <w:r>
        <w:t>: Zjištění a závěry Rady (čl. 39 odst.6 písm. c)</w:t>
      </w:r>
      <w:r w:rsidRPr="00A510E7">
        <w:t xml:space="preserve"> </w:t>
      </w:r>
      <w:r>
        <w:t>Směrnice)</w:t>
      </w:r>
      <w:bookmarkEnd w:id="21"/>
    </w:p>
    <w:p w14:paraId="6E4BD8F5" w14:textId="77777777" w:rsidR="001A3A5A" w:rsidRDefault="001A3A5A" w:rsidP="001A3A5A">
      <w:pPr>
        <w:spacing w:before="0"/>
      </w:pPr>
      <w:r>
        <w:rPr>
          <w:noProof/>
          <w:lang w:eastAsia="cs-CZ"/>
        </w:rPr>
        <w:drawing>
          <wp:inline distT="0" distB="0" distL="0" distR="0" wp14:anchorId="408E3403" wp14:editId="2A6E1E20">
            <wp:extent cx="5700156" cy="1603169"/>
            <wp:effectExtent l="0" t="0" r="15240" b="16510"/>
            <wp:docPr id="20" name="Graf 20">
              <a:extLst xmlns:a="http://schemas.openxmlformats.org/drawingml/2006/main">
                <a:ext uri="{FF2B5EF4-FFF2-40B4-BE49-F238E27FC236}">
                  <a16:creationId xmlns:a16="http://schemas.microsoft.com/office/drawing/2014/main" id="{5475B535-CCC9-43BF-8A88-8C111C86EE4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14:paraId="6ECF1940" w14:textId="77777777" w:rsidR="001A3A5A" w:rsidRDefault="001A3A5A" w:rsidP="001A3A5A">
      <w:pPr>
        <w:spacing w:before="0"/>
      </w:pPr>
    </w:p>
    <w:p w14:paraId="1A089BF9" w14:textId="77777777" w:rsidR="001A3A5A" w:rsidRDefault="001A3A5A" w:rsidP="001A3A5A">
      <w:pPr>
        <w:spacing w:before="0"/>
      </w:pPr>
      <w:r>
        <w:t xml:space="preserve">Na otázku, zda výbor pro audit vzal v úvahu případná zjištění a závěry učiněné Radou z poslední kontroly kvality statutárního auditora (auditorů) nebo auditorské společnosti, odpovědělo 66 % výborů pro audit, že nebyla k dispozici žádná zpráva z kontroly kvality provedené Radou. </w:t>
      </w:r>
    </w:p>
    <w:p w14:paraId="57544C57" w14:textId="77777777" w:rsidR="001A3A5A" w:rsidRDefault="001A3A5A" w:rsidP="001A3A5A">
      <w:pPr>
        <w:spacing w:before="0"/>
      </w:pPr>
    </w:p>
    <w:p w14:paraId="580177E0" w14:textId="77777777" w:rsidR="001A3A5A" w:rsidRDefault="001A3A5A" w:rsidP="001A3A5A">
      <w:pPr>
        <w:spacing w:before="0"/>
      </w:pPr>
      <w:r>
        <w:t>Na otázku, zda výbor pro audit projednal se statutárním auditorem (auditory) / auditorskou společností klíčové otázky vyplývající z povinného auditu, zejména informace o jakýchkoli závažných nedostatcích systému vnitřní finanční kontroly auditovaného subjektu nebo, v případě konsolidované ÚZ, mateřského podniku, jakož i jejich účetního systému uvedlo 87 % výborů pro audit, že tyto záležitosti projednalo.</w:t>
      </w:r>
    </w:p>
    <w:p w14:paraId="4B60B726" w14:textId="77777777" w:rsidR="001A3A5A" w:rsidRDefault="001A3A5A" w:rsidP="001A3A5A">
      <w:pPr>
        <w:spacing w:before="0"/>
      </w:pPr>
    </w:p>
    <w:p w14:paraId="585F006C" w14:textId="77777777" w:rsidR="001A3A5A" w:rsidRDefault="001A3A5A" w:rsidP="001A3A5A">
      <w:pPr>
        <w:pStyle w:val="Titulek"/>
        <w:keepNext/>
        <w:spacing w:before="0"/>
      </w:pPr>
      <w:bookmarkStart w:id="22" w:name="_Toc131065962"/>
      <w:r>
        <w:t xml:space="preserve">Obrázek </w:t>
      </w:r>
      <w:r>
        <w:fldChar w:fldCharType="begin"/>
      </w:r>
      <w:r>
        <w:instrText xml:space="preserve"> SEQ Obrázek \* ARABIC </w:instrText>
      </w:r>
      <w: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  <w:r>
        <w:t>: Postup sestavování účetní závěrky a konsolidované účetní závěrky (čl. 39 odst. 6 písm. d)</w:t>
      </w:r>
      <w:r w:rsidRPr="00A510E7">
        <w:t xml:space="preserve"> </w:t>
      </w:r>
      <w:r>
        <w:t>Směrnice)</w:t>
      </w:r>
      <w:bookmarkEnd w:id="22"/>
    </w:p>
    <w:p w14:paraId="4FA02459" w14:textId="77777777" w:rsidR="001A3A5A" w:rsidRDefault="001A3A5A" w:rsidP="001A3A5A">
      <w:pPr>
        <w:spacing w:before="0"/>
      </w:pPr>
      <w:r>
        <w:rPr>
          <w:noProof/>
          <w:lang w:eastAsia="cs-CZ"/>
        </w:rPr>
        <w:drawing>
          <wp:inline distT="0" distB="0" distL="0" distR="0" wp14:anchorId="5D866C98" wp14:editId="0900DB30">
            <wp:extent cx="5653378" cy="1947545"/>
            <wp:effectExtent l="0" t="0" r="5080" b="14605"/>
            <wp:docPr id="21" name="Graf 21">
              <a:extLst xmlns:a="http://schemas.openxmlformats.org/drawingml/2006/main">
                <a:ext uri="{FF2B5EF4-FFF2-40B4-BE49-F238E27FC236}">
                  <a16:creationId xmlns:a16="http://schemas.microsoft.com/office/drawing/2014/main" id="{C0CB761F-AD5F-43BD-BB9C-BC57B90DBB9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14:paraId="4D9F4080" w14:textId="77777777" w:rsidR="001A3A5A" w:rsidRDefault="001A3A5A" w:rsidP="001A3A5A">
      <w:pPr>
        <w:spacing w:before="0"/>
      </w:pPr>
    </w:p>
    <w:p w14:paraId="717A43FE" w14:textId="77777777" w:rsidR="001A3A5A" w:rsidRDefault="001A3A5A" w:rsidP="001A3A5A">
      <w:pPr>
        <w:spacing w:before="0"/>
      </w:pPr>
      <w:r>
        <w:t>Na otázku, jak výbor pro audit sledoval postup sestavování účetní závěrky a konsolidované účetní závěrky účetní jednotky, uvedlo 49 % výborů pro audit, že se dotazovalo auditora v průběhu auditu.</w:t>
      </w:r>
    </w:p>
    <w:p w14:paraId="7A8F4AC6" w14:textId="77777777" w:rsidR="001A3A5A" w:rsidRDefault="001A3A5A" w:rsidP="001A3A5A">
      <w:pPr>
        <w:spacing w:before="0"/>
      </w:pPr>
    </w:p>
    <w:p w14:paraId="66349686" w14:textId="77777777" w:rsidR="001A3A5A" w:rsidRDefault="001A3A5A" w:rsidP="001A3A5A">
      <w:pPr>
        <w:spacing w:before="0"/>
      </w:pPr>
      <w:r>
        <w:t>Celkem 43 % výborů pro audit uvedlo, že p</w:t>
      </w:r>
      <w:r w:rsidRPr="00725D4C">
        <w:t>rovedl</w:t>
      </w:r>
      <w:r>
        <w:t xml:space="preserve">o </w:t>
      </w:r>
      <w:r w:rsidRPr="00725D4C">
        <w:t>posouzení kvality auditu</w:t>
      </w:r>
      <w:r>
        <w:t>, zbytek výborů pro audit toto posouzení neprovedl. K</w:t>
      </w:r>
      <w:r w:rsidRPr="00725D4C">
        <w:t xml:space="preserve"> posouzení kvality auditu použil výbor pro audit</w:t>
      </w:r>
      <w:r>
        <w:t xml:space="preserve"> jako </w:t>
      </w:r>
      <w:r w:rsidRPr="00725D4C">
        <w:t xml:space="preserve">kritéria/parametry nebo jiné prvky </w:t>
      </w:r>
      <w:r>
        <w:t>zejména</w:t>
      </w:r>
      <w:r w:rsidRPr="00725D4C">
        <w:t xml:space="preserve"> </w:t>
      </w:r>
      <w:r>
        <w:t>k</w:t>
      </w:r>
      <w:r w:rsidRPr="00725D4C">
        <w:t>valit</w:t>
      </w:r>
      <w:r>
        <w:t>u</w:t>
      </w:r>
      <w:r w:rsidRPr="00725D4C">
        <w:t xml:space="preserve"> komunikace</w:t>
      </w:r>
      <w:r>
        <w:t>,</w:t>
      </w:r>
      <w:r w:rsidRPr="003661FE">
        <w:t xml:space="preserve"> </w:t>
      </w:r>
      <w:r>
        <w:t>p</w:t>
      </w:r>
      <w:r w:rsidRPr="003661FE">
        <w:t>osouzení týmu provádějícího zakázku auditu</w:t>
      </w:r>
      <w:r>
        <w:t>, t</w:t>
      </w:r>
      <w:r w:rsidRPr="00612FCE">
        <w:t>echnick</w:t>
      </w:r>
      <w:r>
        <w:t>ou</w:t>
      </w:r>
      <w:r w:rsidRPr="00612FCE">
        <w:t xml:space="preserve"> odbornost týmu provádějícího auditní zakázku</w:t>
      </w:r>
      <w:r>
        <w:t xml:space="preserve"> či m</w:t>
      </w:r>
      <w:r w:rsidRPr="00612FCE">
        <w:t>nožství času stráveného partnerem/vrcholovým vedením auditora na auditní zakázce</w:t>
      </w:r>
      <w:r>
        <w:t>. P</w:t>
      </w:r>
      <w:r w:rsidRPr="001C0A2D">
        <w:t xml:space="preserve">ro posouzení kvality auditu použil výbor pro audit </w:t>
      </w:r>
      <w:r>
        <w:t>interní dotazníky, rozhovory a schůzky s auditorem.</w:t>
      </w:r>
      <w:r w:rsidRPr="001C0A2D">
        <w:t xml:space="preserve"> </w:t>
      </w:r>
    </w:p>
    <w:p w14:paraId="0A7F719E" w14:textId="77777777" w:rsidR="001A3A5A" w:rsidRDefault="001A3A5A" w:rsidP="001A3A5A">
      <w:pPr>
        <w:spacing w:before="0"/>
      </w:pPr>
    </w:p>
    <w:p w14:paraId="56367331" w14:textId="77777777" w:rsidR="001A3A5A" w:rsidRPr="00911CAA" w:rsidRDefault="001A3A5A" w:rsidP="001A3A5A">
      <w:pPr>
        <w:pStyle w:val="Nadpis2"/>
        <w:spacing w:before="0"/>
      </w:pPr>
      <w:bookmarkStart w:id="23" w:name="_Toc130460045"/>
      <w:r w:rsidRPr="00911CAA">
        <w:t>Sledování procesu účetního výkaznictví</w:t>
      </w:r>
      <w:bookmarkEnd w:id="23"/>
    </w:p>
    <w:p w14:paraId="01EE12DE" w14:textId="77777777" w:rsidR="001A3A5A" w:rsidRDefault="001A3A5A" w:rsidP="001A3A5A">
      <w:pPr>
        <w:spacing w:before="0"/>
      </w:pPr>
      <w:r>
        <w:t>Ze Směrnice vyplývá, že výbor pro audit sleduje účinnost systémů vnitřní kontroly a systémů řízení rizik podniku a případně jeho vnitřního auditu s ohledem na účetní výkaznictví auditovaného subjektu, aniž by narušil jeho nezávislost.</w:t>
      </w:r>
    </w:p>
    <w:p w14:paraId="25568FFD" w14:textId="77777777" w:rsidR="001A3A5A" w:rsidRPr="00F628C8" w:rsidRDefault="001A3A5A" w:rsidP="001A3A5A">
      <w:pPr>
        <w:spacing w:before="0"/>
      </w:pPr>
    </w:p>
    <w:p w14:paraId="04DE9F61" w14:textId="77777777" w:rsidR="001A3A5A" w:rsidRDefault="001A3A5A" w:rsidP="001A3A5A">
      <w:pPr>
        <w:spacing w:before="0"/>
      </w:pPr>
    </w:p>
    <w:p w14:paraId="6B94F4C6" w14:textId="77777777" w:rsidR="001A3A5A" w:rsidRDefault="001A3A5A" w:rsidP="001A3A5A">
      <w:pPr>
        <w:pStyle w:val="Titulek"/>
        <w:keepNext/>
        <w:spacing w:before="0"/>
      </w:pPr>
      <w:bookmarkStart w:id="24" w:name="_Toc131065963"/>
      <w:r>
        <w:lastRenderedPageBreak/>
        <w:t xml:space="preserve">Obrázek </w:t>
      </w:r>
      <w:r>
        <w:fldChar w:fldCharType="begin"/>
      </w:r>
      <w:r>
        <w:instrText xml:space="preserve"> SEQ Obrázek \* ARABIC </w:instrText>
      </w:r>
      <w: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  <w:r>
        <w:t>: Sledování účinnosti systémů vnitřní kontroly a systémů řízení rizik (čl. 39 odst. 6 písm. c)</w:t>
      </w:r>
      <w:r w:rsidRPr="00A510E7">
        <w:t xml:space="preserve"> </w:t>
      </w:r>
      <w:r>
        <w:t>Směrnice)</w:t>
      </w:r>
      <w:bookmarkEnd w:id="24"/>
    </w:p>
    <w:p w14:paraId="4C7F3409" w14:textId="77777777" w:rsidR="001A3A5A" w:rsidRDefault="001A3A5A" w:rsidP="001A3A5A">
      <w:pPr>
        <w:spacing w:before="0"/>
      </w:pPr>
      <w:r>
        <w:rPr>
          <w:noProof/>
          <w:lang w:eastAsia="cs-CZ"/>
        </w:rPr>
        <w:drawing>
          <wp:inline distT="0" distB="0" distL="0" distR="0" wp14:anchorId="00E57D5C" wp14:editId="7F06D962">
            <wp:extent cx="5685183" cy="2362835"/>
            <wp:effectExtent l="0" t="0" r="10795" b="18415"/>
            <wp:docPr id="22" name="Graf 22">
              <a:extLst xmlns:a="http://schemas.openxmlformats.org/drawingml/2006/main">
                <a:ext uri="{FF2B5EF4-FFF2-40B4-BE49-F238E27FC236}">
                  <a16:creationId xmlns:a16="http://schemas.microsoft.com/office/drawing/2014/main" id="{999F53AF-95F2-4F3E-A0E5-561B3E9E9E0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14:paraId="46FC0A85" w14:textId="77777777" w:rsidR="001A3A5A" w:rsidRDefault="001A3A5A" w:rsidP="001A3A5A">
      <w:pPr>
        <w:spacing w:before="0"/>
      </w:pPr>
    </w:p>
    <w:p w14:paraId="4E2C7492" w14:textId="77777777" w:rsidR="001A3A5A" w:rsidRPr="00CC28D9" w:rsidRDefault="001A3A5A" w:rsidP="001A3A5A">
      <w:pPr>
        <w:spacing w:before="0"/>
        <w:rPr>
          <w:highlight w:val="yellow"/>
        </w:rPr>
      </w:pPr>
      <w:r>
        <w:t xml:space="preserve">Na dotaz, jak výbor pro audit sledoval účinnost systémů vnitřní kontroly a systémů řízení rizik a případně jeho interního auditu s ohledem na účetní výkaznictví auditovaného subjektu, uvedlo 38 % výborů pro audit, že diskutovalo s auditorem a 32 % výborů pro audit, že vedlo rozhovory či mělo schůzky s vedoucími oddělení subjektu.  </w:t>
      </w:r>
    </w:p>
    <w:p w14:paraId="1FCE3151" w14:textId="77777777" w:rsidR="001136CF" w:rsidRPr="001A3A5A" w:rsidRDefault="001136CF" w:rsidP="001A3A5A"/>
    <w:sectPr w:rsidR="001136CF" w:rsidRPr="001A3A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82AF1A" w14:textId="77777777" w:rsidR="00B25001" w:rsidRDefault="00B25001" w:rsidP="001A3A5A">
      <w:pPr>
        <w:spacing w:before="0"/>
      </w:pPr>
      <w:r>
        <w:separator/>
      </w:r>
    </w:p>
  </w:endnote>
  <w:endnote w:type="continuationSeparator" w:id="0">
    <w:p w14:paraId="6877881B" w14:textId="77777777" w:rsidR="00B25001" w:rsidRDefault="00B25001" w:rsidP="001A3A5A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50E8A8" w14:textId="77777777" w:rsidR="00B25001" w:rsidRDefault="00B25001" w:rsidP="001A3A5A">
      <w:pPr>
        <w:spacing w:before="0"/>
      </w:pPr>
      <w:r>
        <w:separator/>
      </w:r>
    </w:p>
  </w:footnote>
  <w:footnote w:type="continuationSeparator" w:id="0">
    <w:p w14:paraId="7C3195FE" w14:textId="77777777" w:rsidR="00B25001" w:rsidRDefault="00B25001" w:rsidP="001A3A5A">
      <w:pPr>
        <w:spacing w:before="0"/>
      </w:pPr>
      <w:r>
        <w:continuationSeparator/>
      </w:r>
    </w:p>
  </w:footnote>
  <w:footnote w:id="1">
    <w:p w14:paraId="1F46DD7A" w14:textId="77777777" w:rsidR="001A3A5A" w:rsidRDefault="001A3A5A" w:rsidP="001A3A5A">
      <w:pPr>
        <w:pStyle w:val="Textpoznpodarou"/>
      </w:pPr>
      <w:r>
        <w:rPr>
          <w:rStyle w:val="Znakapoznpodarou"/>
        </w:rPr>
        <w:footnoteRef/>
      </w:r>
      <w:r>
        <w:t xml:space="preserve"> Dle čl. 27, odst. 1, písm. c) nařízení</w:t>
      </w:r>
    </w:p>
  </w:footnote>
  <w:footnote w:id="2">
    <w:p w14:paraId="7CAB4697" w14:textId="77777777" w:rsidR="001A3A5A" w:rsidRPr="0071515A" w:rsidRDefault="001A3A5A" w:rsidP="001A3A5A">
      <w:pPr>
        <w:pStyle w:val="Textpoznpodarou"/>
        <w:spacing w:before="0"/>
        <w:rPr>
          <w:sz w:val="16"/>
          <w:szCs w:val="16"/>
        </w:rPr>
      </w:pPr>
      <w:r w:rsidRPr="0071515A">
        <w:rPr>
          <w:rStyle w:val="Znakapoznpodarou"/>
          <w:sz w:val="16"/>
          <w:szCs w:val="16"/>
        </w:rPr>
        <w:footnoteRef/>
      </w:r>
      <w:r w:rsidRPr="0071515A">
        <w:rPr>
          <w:sz w:val="16"/>
          <w:szCs w:val="16"/>
        </w:rPr>
        <w:t xml:space="preserve"> Směrnice E</w:t>
      </w:r>
      <w:r>
        <w:rPr>
          <w:sz w:val="16"/>
          <w:szCs w:val="16"/>
        </w:rPr>
        <w:t xml:space="preserve">vropského </w:t>
      </w:r>
      <w:r w:rsidRPr="0071515A">
        <w:rPr>
          <w:sz w:val="16"/>
          <w:szCs w:val="16"/>
        </w:rPr>
        <w:t>P</w:t>
      </w:r>
      <w:r>
        <w:rPr>
          <w:sz w:val="16"/>
          <w:szCs w:val="16"/>
        </w:rPr>
        <w:t>arlamentu</w:t>
      </w:r>
      <w:r w:rsidRPr="0071515A">
        <w:rPr>
          <w:sz w:val="16"/>
          <w:szCs w:val="16"/>
        </w:rPr>
        <w:t xml:space="preserve"> a R</w:t>
      </w:r>
      <w:r>
        <w:rPr>
          <w:sz w:val="16"/>
          <w:szCs w:val="16"/>
        </w:rPr>
        <w:t>ady</w:t>
      </w:r>
      <w:r w:rsidRPr="0071515A">
        <w:rPr>
          <w:sz w:val="16"/>
          <w:szCs w:val="16"/>
        </w:rPr>
        <w:t xml:space="preserve"> 2006/43/ES ze dne 17. května 2006 o povinném auditu ročních a konsolidovaných účetních závěrek ("Směrnice</w:t>
      </w:r>
      <w:r>
        <w:rPr>
          <w:sz w:val="16"/>
          <w:szCs w:val="16"/>
        </w:rPr>
        <w:t>“</w:t>
      </w:r>
      <w:r w:rsidRPr="0071515A">
        <w:rPr>
          <w:sz w:val="16"/>
          <w:szCs w:val="16"/>
        </w:rPr>
        <w:t>)</w:t>
      </w:r>
    </w:p>
    <w:p w14:paraId="51C014AD" w14:textId="77777777" w:rsidR="001A3A5A" w:rsidRDefault="001A3A5A" w:rsidP="001A3A5A">
      <w:pPr>
        <w:pStyle w:val="Textpoznpodarou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72065C"/>
    <w:multiLevelType w:val="hybridMultilevel"/>
    <w:tmpl w:val="8D64DC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75C4C"/>
    <w:multiLevelType w:val="multilevel"/>
    <w:tmpl w:val="06869092"/>
    <w:lvl w:ilvl="0">
      <w:start w:val="1"/>
      <w:numFmt w:val="decimal"/>
      <w:pStyle w:val="Nadpis1"/>
      <w:lvlText w:val="%1"/>
      <w:lvlJc w:val="left"/>
      <w:pPr>
        <w:ind w:left="1142" w:hanging="432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ind w:left="4546" w:hanging="576"/>
      </w:pPr>
      <w:rPr>
        <w:rFonts w:hint="default"/>
      </w:r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3A5A"/>
    <w:rsid w:val="001136CF"/>
    <w:rsid w:val="001A3A5A"/>
    <w:rsid w:val="00B25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D90DC"/>
  <w15:chartTrackingRefBased/>
  <w15:docId w15:val="{95801C25-9FC2-484F-8E1A-F7CF1FCEF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A3A5A"/>
    <w:pPr>
      <w:spacing w:before="120" w:after="0" w:line="240" w:lineRule="auto"/>
      <w:jc w:val="both"/>
    </w:pPr>
    <w:rPr>
      <w:rFonts w:ascii="Tahoma" w:hAnsi="Tahoma" w:cs="Tahoma"/>
      <w:sz w:val="20"/>
      <w:szCs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1A3A5A"/>
    <w:pPr>
      <w:keepNext/>
      <w:keepLines/>
      <w:numPr>
        <w:numId w:val="1"/>
      </w:numPr>
      <w:spacing w:before="240"/>
      <w:ind w:left="426"/>
      <w:outlineLvl w:val="0"/>
    </w:pPr>
    <w:rPr>
      <w:rFonts w:eastAsiaTheme="majorEastAsia"/>
      <w:b/>
      <w:bCs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1A3A5A"/>
    <w:pPr>
      <w:keepNext/>
      <w:keepLines/>
      <w:numPr>
        <w:ilvl w:val="1"/>
        <w:numId w:val="1"/>
      </w:numPr>
      <w:spacing w:before="240"/>
      <w:ind w:left="567"/>
      <w:outlineLvl w:val="1"/>
    </w:pPr>
    <w:rPr>
      <w:rFonts w:eastAsiaTheme="majorEastAsia"/>
      <w:b/>
      <w:color w:val="000000" w:themeColor="text1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1A3A5A"/>
    <w:pPr>
      <w:keepNext/>
      <w:keepLines/>
      <w:numPr>
        <w:ilvl w:val="2"/>
        <w:numId w:val="1"/>
      </w:numPr>
      <w:spacing w:before="240"/>
      <w:outlineLvl w:val="2"/>
    </w:pPr>
    <w:rPr>
      <w:rFonts w:eastAsiaTheme="majorEastAsia"/>
      <w:color w:val="000000" w:themeColor="text1"/>
    </w:rPr>
  </w:style>
  <w:style w:type="paragraph" w:styleId="Nadpis4">
    <w:name w:val="heading 4"/>
    <w:basedOn w:val="Nadpis2"/>
    <w:next w:val="Normln"/>
    <w:link w:val="Nadpis4Char"/>
    <w:uiPriority w:val="9"/>
    <w:unhideWhenUsed/>
    <w:qFormat/>
    <w:rsid w:val="001A3A5A"/>
    <w:pPr>
      <w:numPr>
        <w:ilvl w:val="3"/>
      </w:numPr>
      <w:spacing w:line="276" w:lineRule="auto"/>
      <w:outlineLvl w:val="3"/>
    </w:pPr>
    <w:rPr>
      <w:b w:val="0"/>
      <w:i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A3A5A"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A3A5A"/>
    <w:pPr>
      <w:keepNext/>
      <w:keepLines/>
      <w:numPr>
        <w:ilvl w:val="5"/>
        <w:numId w:val="1"/>
      </w:numPr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A3A5A"/>
    <w:pPr>
      <w:keepNext/>
      <w:keepLines/>
      <w:numPr>
        <w:ilvl w:val="6"/>
        <w:numId w:val="1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A3A5A"/>
    <w:pPr>
      <w:keepNext/>
      <w:keepLines/>
      <w:numPr>
        <w:ilvl w:val="7"/>
        <w:numId w:val="1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A3A5A"/>
    <w:pPr>
      <w:keepNext/>
      <w:keepLines/>
      <w:numPr>
        <w:ilvl w:val="8"/>
        <w:numId w:val="1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A3A5A"/>
    <w:rPr>
      <w:rFonts w:ascii="Tahoma" w:eastAsiaTheme="majorEastAsia" w:hAnsi="Tahoma" w:cs="Tahoma"/>
      <w:b/>
      <w:bCs/>
      <w:sz w:val="20"/>
      <w:szCs w:val="20"/>
    </w:rPr>
  </w:style>
  <w:style w:type="character" w:customStyle="1" w:styleId="Nadpis2Char">
    <w:name w:val="Nadpis 2 Char"/>
    <w:basedOn w:val="Standardnpsmoodstavce"/>
    <w:link w:val="Nadpis2"/>
    <w:uiPriority w:val="9"/>
    <w:rsid w:val="001A3A5A"/>
    <w:rPr>
      <w:rFonts w:ascii="Tahoma" w:eastAsiaTheme="majorEastAsia" w:hAnsi="Tahoma" w:cs="Tahoma"/>
      <w:b/>
      <w:color w:val="000000" w:themeColor="text1"/>
      <w:sz w:val="20"/>
      <w:szCs w:val="20"/>
    </w:rPr>
  </w:style>
  <w:style w:type="character" w:customStyle="1" w:styleId="Nadpis3Char">
    <w:name w:val="Nadpis 3 Char"/>
    <w:basedOn w:val="Standardnpsmoodstavce"/>
    <w:link w:val="Nadpis3"/>
    <w:uiPriority w:val="9"/>
    <w:rsid w:val="001A3A5A"/>
    <w:rPr>
      <w:rFonts w:ascii="Tahoma" w:eastAsiaTheme="majorEastAsia" w:hAnsi="Tahoma" w:cs="Tahoma"/>
      <w:color w:val="000000" w:themeColor="text1"/>
      <w:sz w:val="20"/>
      <w:szCs w:val="20"/>
    </w:rPr>
  </w:style>
  <w:style w:type="character" w:customStyle="1" w:styleId="Nadpis4Char">
    <w:name w:val="Nadpis 4 Char"/>
    <w:basedOn w:val="Standardnpsmoodstavce"/>
    <w:link w:val="Nadpis4"/>
    <w:uiPriority w:val="9"/>
    <w:rsid w:val="001A3A5A"/>
    <w:rPr>
      <w:rFonts w:ascii="Tahoma" w:eastAsiaTheme="majorEastAsia" w:hAnsi="Tahoma" w:cs="Tahoma"/>
      <w:i/>
      <w:color w:val="000000" w:themeColor="text1"/>
      <w:sz w:val="20"/>
      <w:szCs w:val="20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A3A5A"/>
    <w:rPr>
      <w:rFonts w:asciiTheme="majorHAnsi" w:eastAsiaTheme="majorEastAsia" w:hAnsiTheme="majorHAnsi" w:cstheme="majorBidi"/>
      <w:color w:val="2F5496" w:themeColor="accent1" w:themeShade="BF"/>
      <w:sz w:val="20"/>
      <w:szCs w:val="2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A3A5A"/>
    <w:rPr>
      <w:rFonts w:asciiTheme="majorHAnsi" w:eastAsiaTheme="majorEastAsia" w:hAnsiTheme="majorHAnsi" w:cstheme="majorBidi"/>
      <w:color w:val="1F3763" w:themeColor="accent1" w:themeShade="7F"/>
      <w:sz w:val="20"/>
      <w:szCs w:val="2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A3A5A"/>
    <w:rPr>
      <w:rFonts w:asciiTheme="majorHAnsi" w:eastAsiaTheme="majorEastAsia" w:hAnsiTheme="majorHAnsi" w:cstheme="majorBidi"/>
      <w:i/>
      <w:iCs/>
      <w:color w:val="1F3763" w:themeColor="accent1" w:themeShade="7F"/>
      <w:sz w:val="20"/>
      <w:szCs w:val="2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A3A5A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A3A5A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Odstavecseseznamem">
    <w:name w:val="List Paragraph"/>
    <w:basedOn w:val="Normln"/>
    <w:uiPriority w:val="34"/>
    <w:qFormat/>
    <w:rsid w:val="001A3A5A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1A3A5A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1A3A5A"/>
  </w:style>
  <w:style w:type="character" w:customStyle="1" w:styleId="TextkomenteChar">
    <w:name w:val="Text komentáře Char"/>
    <w:basedOn w:val="Standardnpsmoodstavce"/>
    <w:link w:val="Textkomente"/>
    <w:uiPriority w:val="99"/>
    <w:rsid w:val="001A3A5A"/>
    <w:rPr>
      <w:rFonts w:ascii="Tahoma" w:hAnsi="Tahoma" w:cs="Tahoma"/>
      <w:sz w:val="20"/>
      <w:szCs w:val="20"/>
    </w:rPr>
  </w:style>
  <w:style w:type="paragraph" w:styleId="Titulek">
    <w:name w:val="caption"/>
    <w:basedOn w:val="Normln"/>
    <w:next w:val="Normln"/>
    <w:uiPriority w:val="35"/>
    <w:unhideWhenUsed/>
    <w:qFormat/>
    <w:rsid w:val="001A3A5A"/>
    <w:rPr>
      <w:i/>
      <w:iCs/>
      <w:color w:val="44546A" w:themeColor="text2"/>
      <w:sz w:val="18"/>
      <w:szCs w:val="18"/>
    </w:rPr>
  </w:style>
  <w:style w:type="paragraph" w:styleId="Textpoznpodarou">
    <w:name w:val="footnote text"/>
    <w:basedOn w:val="Normln"/>
    <w:link w:val="TextpoznpodarouChar"/>
    <w:uiPriority w:val="99"/>
    <w:unhideWhenUsed/>
    <w:rsid w:val="001A3A5A"/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1A3A5A"/>
    <w:rPr>
      <w:rFonts w:ascii="Tahoma" w:hAnsi="Tahoma" w:cs="Tahoma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1A3A5A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A3A5A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3A5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13" Type="http://schemas.openxmlformats.org/officeDocument/2006/relationships/chart" Target="charts/chart7.xml"/><Relationship Id="rId18" Type="http://schemas.openxmlformats.org/officeDocument/2006/relationships/chart" Target="charts/chart12.xml"/><Relationship Id="rId3" Type="http://schemas.openxmlformats.org/officeDocument/2006/relationships/settings" Target="settings.xml"/><Relationship Id="rId21" Type="http://schemas.openxmlformats.org/officeDocument/2006/relationships/chart" Target="charts/chart15.xml"/><Relationship Id="rId7" Type="http://schemas.openxmlformats.org/officeDocument/2006/relationships/chart" Target="charts/chart1.xml"/><Relationship Id="rId12" Type="http://schemas.openxmlformats.org/officeDocument/2006/relationships/chart" Target="charts/chart6.xml"/><Relationship Id="rId17" Type="http://schemas.openxmlformats.org/officeDocument/2006/relationships/chart" Target="charts/chart11.xml"/><Relationship Id="rId2" Type="http://schemas.openxmlformats.org/officeDocument/2006/relationships/styles" Target="styles.xml"/><Relationship Id="rId16" Type="http://schemas.openxmlformats.org/officeDocument/2006/relationships/chart" Target="charts/chart10.xml"/><Relationship Id="rId20" Type="http://schemas.openxmlformats.org/officeDocument/2006/relationships/chart" Target="charts/chart1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hart" Target="charts/chart5.xm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chart" Target="charts/chart9.xml"/><Relationship Id="rId23" Type="http://schemas.openxmlformats.org/officeDocument/2006/relationships/fontTable" Target="fontTable.xml"/><Relationship Id="rId10" Type="http://schemas.openxmlformats.org/officeDocument/2006/relationships/chart" Target="charts/chart4.xml"/><Relationship Id="rId19" Type="http://schemas.openxmlformats.org/officeDocument/2006/relationships/chart" Target="charts/chart13.xml"/><Relationship Id="rId4" Type="http://schemas.openxmlformats.org/officeDocument/2006/relationships/webSettings" Target="webSettings.xml"/><Relationship Id="rId9" Type="http://schemas.openxmlformats.org/officeDocument/2006/relationships/chart" Target="charts/chart3.xml"/><Relationship Id="rId14" Type="http://schemas.openxmlformats.org/officeDocument/2006/relationships/chart" Target="charts/chart8.xml"/><Relationship Id="rId22" Type="http://schemas.openxmlformats.org/officeDocument/2006/relationships/chart" Target="charts/chart16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martina.smetanova\Documents\V&#253;bory%20pro%20audit%202022\SOUHRN_2021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martina.smetanova\Documents\V&#253;bory%20pro%20audit%202022\SOUHRN_2021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martina.smetanova\Documents\V&#253;bory%20pro%20audit%202022\SOUHRN_2021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martina.smetanova\Documents\V&#253;bory%20pro%20audit%202022\SOUHRN_2021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martina.smetanova\Documents\V&#253;bory%20pro%20audit%202022\SOUHRN_2021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martina.smetanova\Documents\V&#253;bory%20pro%20audit%202022\SOUHRN_2021.xlsx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martina.smetanova\Documents\V&#253;bory%20pro%20audit%202022\SOUHRN_2021.xlsx" TargetMode="External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martina.smetanova\Documents\V&#253;bory%20pro%20audit%202022\SOUHRN_2021.xlsx" TargetMode="External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martina.smetanova\Documents\V&#253;bory%20pro%20audit%202022\SOUHRN_2021.xlsx" TargetMode="External"/><Relationship Id="rId2" Type="http://schemas.microsoft.com/office/2011/relationships/chartColorStyle" Target="colors9.xml"/><Relationship Id="rId1" Type="http://schemas.microsoft.com/office/2011/relationships/chartStyle" Target="style9.xml"/></Relationships>
</file>

<file path=word/charts/_rels/chart10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martina.smetanova\Documents\V&#253;bory%20pro%20audit%202022\SOUHRN_2021.xlsx" TargetMode="External"/><Relationship Id="rId2" Type="http://schemas.microsoft.com/office/2011/relationships/chartColorStyle" Target="colors10.xml"/><Relationship Id="rId1" Type="http://schemas.microsoft.com/office/2011/relationships/chartStyle" Target="style10.xml"/></Relationships>
</file>

<file path=word/charts/_rels/chart1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martina.smetanova\Documents\V&#253;bory%20pro%20audit%202022\SOUHRN_2021.xlsx" TargetMode="External"/><Relationship Id="rId2" Type="http://schemas.microsoft.com/office/2011/relationships/chartColorStyle" Target="colors11.xml"/><Relationship Id="rId1" Type="http://schemas.microsoft.com/office/2011/relationships/chartStyle" Target="style11.xml"/></Relationships>
</file>

<file path=word/charts/_rels/chart1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martina.smetanova\Documents\V&#253;bory%20pro%20audit%202022\SOUHRN_2021.xlsx" TargetMode="External"/><Relationship Id="rId2" Type="http://schemas.microsoft.com/office/2011/relationships/chartColorStyle" Target="colors12.xml"/><Relationship Id="rId1" Type="http://schemas.microsoft.com/office/2011/relationships/chartStyle" Target="style12.xml"/></Relationships>
</file>

<file path=word/charts/_rels/chart1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martina.smetanova\Documents\V&#253;bory%20pro%20audit%202022\SOUHRN_2021.xlsx" TargetMode="External"/><Relationship Id="rId2" Type="http://schemas.microsoft.com/office/2011/relationships/chartColorStyle" Target="colors13.xml"/><Relationship Id="rId1" Type="http://schemas.microsoft.com/office/2011/relationships/chartStyle" Target="style13.xml"/></Relationships>
</file>

<file path=word/charts/_rels/chart1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martina.smetanova\Documents\V&#253;bory%20pro%20audit%202022\SOUHRN_2021.xlsx" TargetMode="External"/><Relationship Id="rId2" Type="http://schemas.microsoft.com/office/2011/relationships/chartColorStyle" Target="colors14.xml"/><Relationship Id="rId1" Type="http://schemas.microsoft.com/office/2011/relationships/chartStyle" Target="style14.xml"/></Relationships>
</file>

<file path=word/charts/_rels/chart1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martina.smetanova\Documents\V&#253;bory%20pro%20audit%202022\SOUHRN_2021.xlsx" TargetMode="External"/><Relationship Id="rId2" Type="http://schemas.microsoft.com/office/2011/relationships/chartColorStyle" Target="colors15.xml"/><Relationship Id="rId1" Type="http://schemas.microsoft.com/office/2011/relationships/chartStyle" Target="style15.xml"/></Relationships>
</file>

<file path=word/charts/_rels/chart16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martina.smetanova\Documents\V&#253;bory%20pro%20audit%202022\SOUHRN_2021.xlsx" TargetMode="External"/><Relationship Id="rId2" Type="http://schemas.microsoft.com/office/2011/relationships/chartColorStyle" Target="colors16.xml"/><Relationship Id="rId1" Type="http://schemas.microsoft.com/office/2011/relationships/chartStyle" Target="style16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B6E9-4218-8230-63090139CDF6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B6E9-4218-8230-63090139CDF6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B6E9-4218-8230-63090139CDF6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7-B6E9-4218-8230-63090139CDF6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9-B6E9-4218-8230-63090139CDF6}"/>
              </c:ext>
            </c:extLst>
          </c:dPt>
          <c:dLbls>
            <c:dLbl>
              <c:idx val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0" i="0" u="none" strike="noStrike" kern="1200" spc="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outEnd"/>
              <c:showLegendKey val="0"/>
              <c:showVal val="1"/>
              <c:showCatName val="1"/>
              <c:showSerName val="0"/>
              <c:showPercent val="0"/>
              <c:showBubbleSize val="0"/>
              <c:extLst>
                <c:ext xmlns:c16="http://schemas.microsoft.com/office/drawing/2014/chart" uri="{C3380CC4-5D6E-409C-BE32-E72D297353CC}">
                  <c16:uniqueId val="{00000001-B6E9-4218-8230-63090139CDF6}"/>
                </c:ext>
              </c:extLst>
            </c:dLbl>
            <c:dLbl>
              <c:idx val="1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0" i="0" u="none" strike="noStrike" kern="1200" spc="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outEnd"/>
              <c:showLegendKey val="0"/>
              <c:showVal val="1"/>
              <c:showCatName val="1"/>
              <c:showSerName val="0"/>
              <c:showPercent val="0"/>
              <c:showBubbleSize val="0"/>
              <c:extLst>
                <c:ext xmlns:c16="http://schemas.microsoft.com/office/drawing/2014/chart" uri="{C3380CC4-5D6E-409C-BE32-E72D297353CC}">
                  <c16:uniqueId val="{00000003-B6E9-4218-8230-63090139CDF6}"/>
                </c:ext>
              </c:extLst>
            </c:dLbl>
            <c:dLbl>
              <c:idx val="2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0" i="0" u="none" strike="noStrike" kern="1200" spc="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outEnd"/>
              <c:showLegendKey val="0"/>
              <c:showVal val="1"/>
              <c:showCatName val="1"/>
              <c:showSerName val="0"/>
              <c:showPercent val="0"/>
              <c:showBubbleSize val="0"/>
              <c:extLst>
                <c:ext xmlns:c16="http://schemas.microsoft.com/office/drawing/2014/chart" uri="{C3380CC4-5D6E-409C-BE32-E72D297353CC}">
                  <c16:uniqueId val="{00000005-B6E9-4218-8230-63090139CDF6}"/>
                </c:ext>
              </c:extLst>
            </c:dLbl>
            <c:dLbl>
              <c:idx val="3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0" i="0" u="none" strike="noStrike" kern="1200" spc="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outEnd"/>
              <c:showLegendKey val="0"/>
              <c:showVal val="1"/>
              <c:showCatName val="1"/>
              <c:showSerName val="0"/>
              <c:showPercent val="0"/>
              <c:showBubbleSize val="0"/>
              <c:extLst>
                <c:ext xmlns:c16="http://schemas.microsoft.com/office/drawing/2014/chart" uri="{C3380CC4-5D6E-409C-BE32-E72D297353CC}">
                  <c16:uniqueId val="{00000007-B6E9-4218-8230-63090139CDF6}"/>
                </c:ext>
              </c:extLst>
            </c:dLbl>
            <c:dLbl>
              <c:idx val="4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0" i="0" u="none" strike="noStrike" kern="1200" spc="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outEnd"/>
              <c:showLegendKey val="0"/>
              <c:showVal val="1"/>
              <c:showCatName val="1"/>
              <c:showSerName val="0"/>
              <c:showPercent val="0"/>
              <c:showBubbleSize val="0"/>
              <c:extLst>
                <c:ext xmlns:c16="http://schemas.microsoft.com/office/drawing/2014/chart" uri="{C3380CC4-5D6E-409C-BE32-E72D297353CC}">
                  <c16:uniqueId val="{00000009-B6E9-4218-8230-63090139CDF6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spc="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cs-CZ"/>
              </a:p>
            </c:txPr>
            <c:dLblPos val="outEnd"/>
            <c:showLegendKey val="0"/>
            <c:showVal val="1"/>
            <c:showCatName val="1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Podklady!$B$35:$B$39</c:f>
              <c:strCache>
                <c:ptCount val="5"/>
                <c:pt idx="0">
                  <c:v>Energie</c:v>
                </c:pt>
                <c:pt idx="1">
                  <c:v>Finanční služby</c:v>
                </c:pt>
                <c:pt idx="2">
                  <c:v>Výroba</c:v>
                </c:pt>
                <c:pt idx="3">
                  <c:v>Nemovitosti</c:v>
                </c:pt>
                <c:pt idx="4">
                  <c:v>Ostatní</c:v>
                </c:pt>
              </c:strCache>
            </c:strRef>
          </c:cat>
          <c:val>
            <c:numRef>
              <c:f>Podklady!$C$35:$C$39</c:f>
              <c:numCache>
                <c:formatCode>General</c:formatCode>
                <c:ptCount val="5"/>
                <c:pt idx="0">
                  <c:v>6</c:v>
                </c:pt>
                <c:pt idx="1">
                  <c:v>85</c:v>
                </c:pt>
                <c:pt idx="2">
                  <c:v>5</c:v>
                </c:pt>
                <c:pt idx="3">
                  <c:v>24</c:v>
                </c:pt>
                <c:pt idx="4">
                  <c:v>13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B6E9-4218-8230-63090139CDF6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accent1"/>
      </a:solidFill>
      <a:round/>
    </a:ln>
    <a:effectLst/>
  </c:spPr>
  <c:txPr>
    <a:bodyPr/>
    <a:lstStyle/>
    <a:p>
      <a:pPr>
        <a:defRPr/>
      </a:pPr>
      <a:endParaRPr lang="cs-CZ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cs-CZ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Podklady!$C$2</c:f>
              <c:strCache>
                <c:ptCount val="1"/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ahoma" panose="020B0604030504040204" pitchFamily="34" charset="0"/>
                    <a:ea typeface="Tahoma" panose="020B0604030504040204" pitchFamily="34" charset="0"/>
                    <a:cs typeface="Tahoma" panose="020B0604030504040204" pitchFamily="34" charset="0"/>
                  </a:defRPr>
                </a:pPr>
                <a:endParaRPr lang="cs-CZ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Podklady!$B$3:$B$7</c:f>
              <c:strCache>
                <c:ptCount val="5"/>
                <c:pt idx="0">
                  <c:v>1 až 9</c:v>
                </c:pt>
                <c:pt idx="1">
                  <c:v>10 až 49</c:v>
                </c:pt>
                <c:pt idx="2">
                  <c:v>50 až 249</c:v>
                </c:pt>
                <c:pt idx="3">
                  <c:v>250 až 499</c:v>
                </c:pt>
                <c:pt idx="4">
                  <c:v>Nad 500</c:v>
                </c:pt>
              </c:strCache>
            </c:strRef>
          </c:cat>
          <c:val>
            <c:numRef>
              <c:f>Podklady!$C$3:$C$7</c:f>
              <c:numCache>
                <c:formatCode>General</c:formatCode>
                <c:ptCount val="5"/>
                <c:pt idx="0">
                  <c:v>57</c:v>
                </c:pt>
                <c:pt idx="1">
                  <c:v>17</c:v>
                </c:pt>
                <c:pt idx="2">
                  <c:v>29</c:v>
                </c:pt>
                <c:pt idx="3">
                  <c:v>7</c:v>
                </c:pt>
                <c:pt idx="4">
                  <c:v>23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39E-4E16-A41A-84AEEEB853F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677765952"/>
        <c:axId val="677766368"/>
      </c:barChart>
      <c:catAx>
        <c:axId val="6777659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ahoma" panose="020B0604030504040204" pitchFamily="34" charset="0"/>
                <a:ea typeface="Tahoma" panose="020B0604030504040204" pitchFamily="34" charset="0"/>
                <a:cs typeface="Tahoma" panose="020B0604030504040204" pitchFamily="34" charset="0"/>
              </a:defRPr>
            </a:pPr>
            <a:endParaRPr lang="cs-CZ"/>
          </a:p>
        </c:txPr>
        <c:crossAx val="677766368"/>
        <c:crosses val="autoZero"/>
        <c:auto val="1"/>
        <c:lblAlgn val="ctr"/>
        <c:lblOffset val="100"/>
        <c:noMultiLvlLbl val="0"/>
      </c:catAx>
      <c:valAx>
        <c:axId val="677766368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ahoma" panose="020B0604030504040204" pitchFamily="34" charset="0"/>
                <a:ea typeface="Tahoma" panose="020B0604030504040204" pitchFamily="34" charset="0"/>
                <a:cs typeface="Tahoma" panose="020B0604030504040204" pitchFamily="34" charset="0"/>
              </a:defRPr>
            </a:pPr>
            <a:endParaRPr lang="cs-CZ"/>
          </a:p>
        </c:txPr>
        <c:crossAx val="67776595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accent1"/>
      </a:solidFill>
      <a:round/>
    </a:ln>
    <a:effectLst/>
  </c:spPr>
  <c:txPr>
    <a:bodyPr/>
    <a:lstStyle/>
    <a:p>
      <a:pPr>
        <a:defRPr/>
      </a:pPr>
      <a:endParaRPr lang="cs-CZ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6841-40FC-AAC0-C5BD5E09BB39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6841-40FC-AAC0-C5BD5E09BB39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6841-40FC-AAC0-C5BD5E09BB39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cs-CZ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Podklady!$B$17:$B$19</c:f>
              <c:strCache>
                <c:ptCount val="3"/>
                <c:pt idx="0">
                  <c:v>3 osoby</c:v>
                </c:pt>
                <c:pt idx="1">
                  <c:v>4 osoby</c:v>
                </c:pt>
                <c:pt idx="2">
                  <c:v>5 osob</c:v>
                </c:pt>
              </c:strCache>
            </c:strRef>
          </c:cat>
          <c:val>
            <c:numRef>
              <c:f>Podklady!$C$17:$C$19</c:f>
              <c:numCache>
                <c:formatCode>General</c:formatCode>
                <c:ptCount val="3"/>
                <c:pt idx="0">
                  <c:v>125</c:v>
                </c:pt>
                <c:pt idx="1">
                  <c:v>3</c:v>
                </c:pt>
                <c:pt idx="2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6841-40FC-AAC0-C5BD5E09BB3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cs-CZ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accent1"/>
      </a:solidFill>
      <a:round/>
    </a:ln>
    <a:effectLst/>
  </c:spPr>
  <c:txPr>
    <a:bodyPr/>
    <a:lstStyle/>
    <a:p>
      <a:pPr>
        <a:defRPr/>
      </a:pPr>
      <a:endParaRPr lang="cs-CZ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ahoma" panose="020B0604030504040204" pitchFamily="34" charset="0"/>
                    <a:ea typeface="Tahoma" panose="020B0604030504040204" pitchFamily="34" charset="0"/>
                    <a:cs typeface="Tahoma" panose="020B0604030504040204" pitchFamily="34" charset="0"/>
                  </a:defRPr>
                </a:pPr>
                <a:endParaRPr lang="cs-CZ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Podklady!$T$46:$T$51</c:f>
              <c:strCache>
                <c:ptCount val="6"/>
                <c:pt idx="0">
                  <c:v>Nikdy</c:v>
                </c:pt>
                <c:pt idx="1">
                  <c:v>1x</c:v>
                </c:pt>
                <c:pt idx="2">
                  <c:v>2x</c:v>
                </c:pt>
                <c:pt idx="3">
                  <c:v>3x</c:v>
                </c:pt>
                <c:pt idx="4">
                  <c:v>Čtvrtletně</c:v>
                </c:pt>
                <c:pt idx="5">
                  <c:v>Ostatní</c:v>
                </c:pt>
              </c:strCache>
            </c:strRef>
          </c:cat>
          <c:val>
            <c:numRef>
              <c:f>Podklady!$U$46:$U$51</c:f>
              <c:numCache>
                <c:formatCode>General</c:formatCode>
                <c:ptCount val="6"/>
                <c:pt idx="0">
                  <c:v>7</c:v>
                </c:pt>
                <c:pt idx="1">
                  <c:v>46</c:v>
                </c:pt>
                <c:pt idx="2">
                  <c:v>12</c:v>
                </c:pt>
                <c:pt idx="3">
                  <c:v>16</c:v>
                </c:pt>
                <c:pt idx="4">
                  <c:v>28</c:v>
                </c:pt>
                <c:pt idx="5">
                  <c:v>24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AF7-465A-8CC0-92896BC5E36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839940815"/>
        <c:axId val="839954127"/>
      </c:barChart>
      <c:catAx>
        <c:axId val="839940815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ahoma" panose="020B0604030504040204" pitchFamily="34" charset="0"/>
                <a:ea typeface="Tahoma" panose="020B0604030504040204" pitchFamily="34" charset="0"/>
                <a:cs typeface="Tahoma" panose="020B0604030504040204" pitchFamily="34" charset="0"/>
              </a:defRPr>
            </a:pPr>
            <a:endParaRPr lang="cs-CZ"/>
          </a:p>
        </c:txPr>
        <c:crossAx val="839954127"/>
        <c:crosses val="autoZero"/>
        <c:auto val="1"/>
        <c:lblAlgn val="ctr"/>
        <c:lblOffset val="100"/>
        <c:noMultiLvlLbl val="0"/>
      </c:catAx>
      <c:valAx>
        <c:axId val="839954127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ahoma" panose="020B0604030504040204" pitchFamily="34" charset="0"/>
                <a:ea typeface="Tahoma" panose="020B0604030504040204" pitchFamily="34" charset="0"/>
                <a:cs typeface="Tahoma" panose="020B0604030504040204" pitchFamily="34" charset="0"/>
              </a:defRPr>
            </a:pPr>
            <a:endParaRPr lang="cs-CZ"/>
          </a:p>
        </c:txPr>
        <c:crossAx val="839940815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accent1"/>
      </a:solidFill>
      <a:round/>
    </a:ln>
    <a:effectLst/>
  </c:spPr>
  <c:txPr>
    <a:bodyPr/>
    <a:lstStyle/>
    <a:p>
      <a:pPr>
        <a:defRPr/>
      </a:pPr>
      <a:endParaRPr lang="cs-CZ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cs-CZ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Podklady!$T$56:$T$61</c:f>
              <c:strCache>
                <c:ptCount val="6"/>
                <c:pt idx="0">
                  <c:v>Nikdy</c:v>
                </c:pt>
                <c:pt idx="1">
                  <c:v>1x</c:v>
                </c:pt>
                <c:pt idx="2">
                  <c:v>2x</c:v>
                </c:pt>
                <c:pt idx="3">
                  <c:v>3x</c:v>
                </c:pt>
                <c:pt idx="4">
                  <c:v>Čtvrtletně</c:v>
                </c:pt>
                <c:pt idx="5">
                  <c:v>Ostatní</c:v>
                </c:pt>
              </c:strCache>
            </c:strRef>
          </c:cat>
          <c:val>
            <c:numRef>
              <c:f>Podklady!$U$56:$U$61</c:f>
              <c:numCache>
                <c:formatCode>General</c:formatCode>
                <c:ptCount val="6"/>
                <c:pt idx="0">
                  <c:v>26</c:v>
                </c:pt>
                <c:pt idx="1">
                  <c:v>33</c:v>
                </c:pt>
                <c:pt idx="2">
                  <c:v>12</c:v>
                </c:pt>
                <c:pt idx="3">
                  <c:v>16</c:v>
                </c:pt>
                <c:pt idx="4">
                  <c:v>31</c:v>
                </c:pt>
                <c:pt idx="5">
                  <c:v>15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D3C-4C55-8D4C-98CC0FDD1C2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010452319"/>
        <c:axId val="1010466879"/>
      </c:barChart>
      <c:catAx>
        <c:axId val="1010452319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ahoma" panose="020B0604030504040204" pitchFamily="34" charset="0"/>
                <a:ea typeface="Tahoma" panose="020B0604030504040204" pitchFamily="34" charset="0"/>
                <a:cs typeface="Tahoma" panose="020B0604030504040204" pitchFamily="34" charset="0"/>
              </a:defRPr>
            </a:pPr>
            <a:endParaRPr lang="cs-CZ"/>
          </a:p>
        </c:txPr>
        <c:crossAx val="1010466879"/>
        <c:crosses val="autoZero"/>
        <c:auto val="1"/>
        <c:lblAlgn val="ctr"/>
        <c:lblOffset val="100"/>
        <c:noMultiLvlLbl val="0"/>
      </c:catAx>
      <c:valAx>
        <c:axId val="1010466879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ahoma" panose="020B0604030504040204" pitchFamily="34" charset="0"/>
                <a:ea typeface="Tahoma" panose="020B0604030504040204" pitchFamily="34" charset="0"/>
                <a:cs typeface="Tahoma" panose="020B0604030504040204" pitchFamily="34" charset="0"/>
              </a:defRPr>
            </a:pPr>
            <a:endParaRPr lang="cs-CZ"/>
          </a:p>
        </c:txPr>
        <c:crossAx val="1010452319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accent1"/>
      </a:solidFill>
      <a:round/>
    </a:ln>
    <a:effectLst/>
  </c:spPr>
  <c:txPr>
    <a:bodyPr/>
    <a:lstStyle/>
    <a:p>
      <a:pPr>
        <a:defRPr/>
      </a:pPr>
      <a:endParaRPr lang="cs-CZ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cs-CZ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Podklady!$B$77:$B$81</c:f>
              <c:strCache>
                <c:ptCount val="5"/>
                <c:pt idx="0">
                  <c:v>Verbálně na schůzkách za přítomnosti vedení subjektu</c:v>
                </c:pt>
                <c:pt idx="1">
                  <c:v>Verbálně na schůzkách bez přítomnosti vedení</c:v>
                </c:pt>
                <c:pt idx="2">
                  <c:v>V písemné zprávě</c:v>
                </c:pt>
                <c:pt idx="3">
                  <c:v>NE</c:v>
                </c:pt>
                <c:pt idx="4">
                  <c:v>Jiné</c:v>
                </c:pt>
              </c:strCache>
            </c:strRef>
          </c:cat>
          <c:val>
            <c:numRef>
              <c:f>Podklady!$C$77:$C$81</c:f>
              <c:numCache>
                <c:formatCode>General</c:formatCode>
                <c:ptCount val="5"/>
                <c:pt idx="0">
                  <c:v>85</c:v>
                </c:pt>
                <c:pt idx="1">
                  <c:v>2</c:v>
                </c:pt>
                <c:pt idx="2">
                  <c:v>25</c:v>
                </c:pt>
                <c:pt idx="3">
                  <c:v>15</c:v>
                </c:pt>
                <c:pt idx="4">
                  <c:v>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9DB-4D4E-9A9C-A3C34A9FE9F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866345552"/>
        <c:axId val="866343056"/>
      </c:barChart>
      <c:catAx>
        <c:axId val="8663455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ahoma" panose="020B0604030504040204" pitchFamily="34" charset="0"/>
                <a:ea typeface="Tahoma" panose="020B0604030504040204" pitchFamily="34" charset="0"/>
                <a:cs typeface="Tahoma" panose="020B0604030504040204" pitchFamily="34" charset="0"/>
              </a:defRPr>
            </a:pPr>
            <a:endParaRPr lang="cs-CZ"/>
          </a:p>
        </c:txPr>
        <c:crossAx val="866343056"/>
        <c:crosses val="autoZero"/>
        <c:auto val="1"/>
        <c:lblAlgn val="ctr"/>
        <c:lblOffset val="100"/>
        <c:noMultiLvlLbl val="0"/>
      </c:catAx>
      <c:valAx>
        <c:axId val="86634305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ahoma" panose="020B0604030504040204" pitchFamily="34" charset="0"/>
                <a:ea typeface="Tahoma" panose="020B0604030504040204" pitchFamily="34" charset="0"/>
                <a:cs typeface="Tahoma" panose="020B0604030504040204" pitchFamily="34" charset="0"/>
              </a:defRPr>
            </a:pPr>
            <a:endParaRPr lang="cs-CZ"/>
          </a:p>
        </c:txPr>
        <c:crossAx val="86634555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accent1"/>
      </a:solidFill>
      <a:round/>
    </a:ln>
    <a:effectLst/>
  </c:spPr>
  <c:txPr>
    <a:bodyPr/>
    <a:lstStyle/>
    <a:p>
      <a:pPr>
        <a:defRPr/>
      </a:pPr>
      <a:endParaRPr lang="cs-CZ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ahoma" panose="020B0604030504040204" pitchFamily="34" charset="0"/>
                    <a:ea typeface="Tahoma" panose="020B0604030504040204" pitchFamily="34" charset="0"/>
                    <a:cs typeface="Tahoma" panose="020B0604030504040204" pitchFamily="34" charset="0"/>
                  </a:defRPr>
                </a:pPr>
                <a:endParaRPr lang="cs-CZ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Podklady!$B$84:$B$88</c:f>
              <c:strCache>
                <c:ptCount val="5"/>
                <c:pt idx="0">
                  <c:v>Verbálně na schůzkách za přítomnosti vedení subjektu</c:v>
                </c:pt>
                <c:pt idx="1">
                  <c:v>Verbálně na schůzkách bez přítomnosti vedení</c:v>
                </c:pt>
                <c:pt idx="2">
                  <c:v>V písemné zprávě</c:v>
                </c:pt>
                <c:pt idx="3">
                  <c:v>NE</c:v>
                </c:pt>
                <c:pt idx="4">
                  <c:v>Jiné</c:v>
                </c:pt>
              </c:strCache>
            </c:strRef>
          </c:cat>
          <c:val>
            <c:numRef>
              <c:f>Podklady!$C$84:$C$88</c:f>
              <c:numCache>
                <c:formatCode>General</c:formatCode>
                <c:ptCount val="5"/>
                <c:pt idx="0">
                  <c:v>59</c:v>
                </c:pt>
                <c:pt idx="1">
                  <c:v>12</c:v>
                </c:pt>
                <c:pt idx="2">
                  <c:v>37</c:v>
                </c:pt>
                <c:pt idx="3">
                  <c:v>19</c:v>
                </c:pt>
                <c:pt idx="4">
                  <c:v>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19B-44D6-9E98-DD05D498025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144930832"/>
        <c:axId val="1144945392"/>
      </c:barChart>
      <c:catAx>
        <c:axId val="114493083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ahoma" panose="020B0604030504040204" pitchFamily="34" charset="0"/>
                <a:ea typeface="Tahoma" panose="020B0604030504040204" pitchFamily="34" charset="0"/>
                <a:cs typeface="Tahoma" panose="020B0604030504040204" pitchFamily="34" charset="0"/>
              </a:defRPr>
            </a:pPr>
            <a:endParaRPr lang="cs-CZ"/>
          </a:p>
        </c:txPr>
        <c:crossAx val="1144945392"/>
        <c:crosses val="autoZero"/>
        <c:auto val="1"/>
        <c:lblAlgn val="ctr"/>
        <c:lblOffset val="100"/>
        <c:noMultiLvlLbl val="0"/>
      </c:catAx>
      <c:valAx>
        <c:axId val="114494539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ahoma" panose="020B0604030504040204" pitchFamily="34" charset="0"/>
                <a:ea typeface="Tahoma" panose="020B0604030504040204" pitchFamily="34" charset="0"/>
                <a:cs typeface="Tahoma" panose="020B0604030504040204" pitchFamily="34" charset="0"/>
              </a:defRPr>
            </a:pPr>
            <a:endParaRPr lang="cs-CZ"/>
          </a:p>
        </c:txPr>
        <c:crossAx val="114493083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accent1"/>
      </a:solidFill>
      <a:round/>
    </a:ln>
    <a:effectLst/>
  </c:spPr>
  <c:txPr>
    <a:bodyPr/>
    <a:lstStyle/>
    <a:p>
      <a:pPr>
        <a:defRPr/>
      </a:pPr>
      <a:endParaRPr lang="cs-CZ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ahoma" panose="020B0604030504040204" pitchFamily="34" charset="0"/>
                    <a:ea typeface="Tahoma" panose="020B0604030504040204" pitchFamily="34" charset="0"/>
                    <a:cs typeface="Tahoma" panose="020B0604030504040204" pitchFamily="34" charset="0"/>
                  </a:defRPr>
                </a:pPr>
                <a:endParaRPr lang="cs-CZ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Podklady!$B$93:$B$96</c:f>
              <c:strCache>
                <c:ptCount val="4"/>
                <c:pt idx="0">
                  <c:v>Méně než 10 % celkového času zasedání </c:v>
                </c:pt>
                <c:pt idx="1">
                  <c:v>Mezi 10% a 25% z celkového času zasedání</c:v>
                </c:pt>
                <c:pt idx="2">
                  <c:v>Mezi 25% a 50% z celkového času zasedání</c:v>
                </c:pt>
                <c:pt idx="3">
                  <c:v>Víc jak 50% z celkového času zasedání </c:v>
                </c:pt>
              </c:strCache>
            </c:strRef>
          </c:cat>
          <c:val>
            <c:numRef>
              <c:f>Podklady!$C$93:$C$96</c:f>
              <c:numCache>
                <c:formatCode>General</c:formatCode>
                <c:ptCount val="4"/>
                <c:pt idx="0">
                  <c:v>6</c:v>
                </c:pt>
                <c:pt idx="1">
                  <c:v>39</c:v>
                </c:pt>
                <c:pt idx="2">
                  <c:v>44</c:v>
                </c:pt>
                <c:pt idx="3">
                  <c:v>44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CF0-4BAC-9B6A-A90101AB39B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866791824"/>
        <c:axId val="866792656"/>
      </c:barChart>
      <c:catAx>
        <c:axId val="86679182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ahoma" panose="020B0604030504040204" pitchFamily="34" charset="0"/>
                <a:ea typeface="Tahoma" panose="020B0604030504040204" pitchFamily="34" charset="0"/>
                <a:cs typeface="Tahoma" panose="020B0604030504040204" pitchFamily="34" charset="0"/>
              </a:defRPr>
            </a:pPr>
            <a:endParaRPr lang="cs-CZ"/>
          </a:p>
        </c:txPr>
        <c:crossAx val="866792656"/>
        <c:crosses val="autoZero"/>
        <c:auto val="1"/>
        <c:lblAlgn val="ctr"/>
        <c:lblOffset val="100"/>
        <c:noMultiLvlLbl val="0"/>
      </c:catAx>
      <c:valAx>
        <c:axId val="86679265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ahoma" panose="020B0604030504040204" pitchFamily="34" charset="0"/>
                <a:ea typeface="Tahoma" panose="020B0604030504040204" pitchFamily="34" charset="0"/>
                <a:cs typeface="Tahoma" panose="020B0604030504040204" pitchFamily="34" charset="0"/>
              </a:defRPr>
            </a:pPr>
            <a:endParaRPr lang="cs-CZ"/>
          </a:p>
        </c:txPr>
        <c:crossAx val="86679182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accent1"/>
      </a:solidFill>
      <a:round/>
    </a:ln>
    <a:effectLst/>
  </c:spPr>
  <c:txPr>
    <a:bodyPr/>
    <a:lstStyle/>
    <a:p>
      <a:pPr>
        <a:defRPr/>
      </a:pPr>
      <a:endParaRPr lang="cs-CZ"/>
    </a:p>
  </c:txPr>
  <c:externalData r:id="rId3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ahoma" panose="020B0604030504040204" pitchFamily="34" charset="0"/>
                    <a:ea typeface="Tahoma" panose="020B0604030504040204" pitchFamily="34" charset="0"/>
                    <a:cs typeface="Tahoma" panose="020B0604030504040204" pitchFamily="34" charset="0"/>
                  </a:defRPr>
                </a:pPr>
                <a:endParaRPr lang="cs-CZ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Podklady!$B$99:$B$105</c:f>
              <c:strCache>
                <c:ptCount val="7"/>
                <c:pt idx="0">
                  <c:v>Další oblasti pro doporučení </c:v>
                </c:pt>
                <c:pt idx="1">
                  <c:v>Analýza řízení rizik / vnitřní kontroly</c:v>
                </c:pt>
                <c:pt idx="2">
                  <c:v>Posouzení souladu s předpisy</c:v>
                </c:pt>
                <c:pt idx="3">
                  <c:v>Kybernetická bezpečnost</c:v>
                </c:pt>
                <c:pt idx="4">
                  <c:v>Rozhodnutí o financování a likviditě</c:v>
                </c:pt>
                <c:pt idx="5">
                  <c:v>Sestavení účetní závěrky</c:v>
                </c:pt>
                <c:pt idx="6">
                  <c:v>Nebyly poskytnuty žádné vstupy/doporučení</c:v>
                </c:pt>
              </c:strCache>
            </c:strRef>
          </c:cat>
          <c:val>
            <c:numRef>
              <c:f>Podklady!$C$99:$C$105</c:f>
              <c:numCache>
                <c:formatCode>General</c:formatCode>
                <c:ptCount val="7"/>
                <c:pt idx="0">
                  <c:v>4</c:v>
                </c:pt>
                <c:pt idx="1">
                  <c:v>33</c:v>
                </c:pt>
                <c:pt idx="2">
                  <c:v>2</c:v>
                </c:pt>
                <c:pt idx="3">
                  <c:v>2</c:v>
                </c:pt>
                <c:pt idx="4">
                  <c:v>1</c:v>
                </c:pt>
                <c:pt idx="5">
                  <c:v>30</c:v>
                </c:pt>
                <c:pt idx="6">
                  <c:v>61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9ED-440F-A3FD-71AF87F0384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863761440"/>
        <c:axId val="863765184"/>
      </c:barChart>
      <c:catAx>
        <c:axId val="86376144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ahoma" panose="020B0604030504040204" pitchFamily="34" charset="0"/>
                <a:ea typeface="Tahoma" panose="020B0604030504040204" pitchFamily="34" charset="0"/>
                <a:cs typeface="Tahoma" panose="020B0604030504040204" pitchFamily="34" charset="0"/>
              </a:defRPr>
            </a:pPr>
            <a:endParaRPr lang="cs-CZ"/>
          </a:p>
        </c:txPr>
        <c:crossAx val="863765184"/>
        <c:crosses val="autoZero"/>
        <c:auto val="1"/>
        <c:lblAlgn val="ctr"/>
        <c:lblOffset val="100"/>
        <c:noMultiLvlLbl val="0"/>
      </c:catAx>
      <c:valAx>
        <c:axId val="86376518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ahoma" panose="020B0604030504040204" pitchFamily="34" charset="0"/>
                <a:ea typeface="Tahoma" panose="020B0604030504040204" pitchFamily="34" charset="0"/>
                <a:cs typeface="Tahoma" panose="020B0604030504040204" pitchFamily="34" charset="0"/>
              </a:defRPr>
            </a:pPr>
            <a:endParaRPr lang="cs-CZ"/>
          </a:p>
        </c:txPr>
        <c:crossAx val="86376144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accent1"/>
      </a:solidFill>
      <a:round/>
    </a:ln>
    <a:effectLst/>
  </c:spPr>
  <c:txPr>
    <a:bodyPr/>
    <a:lstStyle/>
    <a:p>
      <a:pPr>
        <a:defRPr/>
      </a:pPr>
      <a:endParaRPr lang="cs-CZ"/>
    </a:p>
  </c:txPr>
  <c:externalData r:id="rId3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cs-CZ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Podklady!$B$112:$B$115</c:f>
              <c:strCache>
                <c:ptCount val="4"/>
                <c:pt idx="0">
                  <c:v>Formální diskuze o ohrožení nezávislosti auditora, jakož i o zárukách uplatňovaných ke zmírnění těchto hrozeb</c:v>
                </c:pt>
                <c:pt idx="1">
                  <c:v>Výbor pro audit si vyžádal informace od vedení subjektu</c:v>
                </c:pt>
                <c:pt idx="2">
                  <c:v>Výbor pro audit neprovedl žádné kroky ke sledování nezávislosti</c:v>
                </c:pt>
                <c:pt idx="3">
                  <c:v>Písemné prohlášení potvrzující, že statutární auditor (auditoři), auditorská společnost (společnosti) a partneři, a členové vyššího i nižšího vedení, kteří provádějí povinný audit, jsou na subjektu nezávislí </c:v>
                </c:pt>
              </c:strCache>
            </c:strRef>
          </c:cat>
          <c:val>
            <c:numRef>
              <c:f>Podklady!$C$112:$C$115</c:f>
              <c:numCache>
                <c:formatCode>General</c:formatCode>
                <c:ptCount val="4"/>
                <c:pt idx="0">
                  <c:v>4</c:v>
                </c:pt>
                <c:pt idx="1">
                  <c:v>3</c:v>
                </c:pt>
                <c:pt idx="2">
                  <c:v>3</c:v>
                </c:pt>
                <c:pt idx="3">
                  <c:v>123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FEB-44C7-94BC-E2904EFB993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997251120"/>
        <c:axId val="997244880"/>
      </c:barChart>
      <c:catAx>
        <c:axId val="99725112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ahoma" panose="020B0604030504040204" pitchFamily="34" charset="0"/>
                <a:ea typeface="Tahoma" panose="020B0604030504040204" pitchFamily="34" charset="0"/>
                <a:cs typeface="Tahoma" panose="020B0604030504040204" pitchFamily="34" charset="0"/>
              </a:defRPr>
            </a:pPr>
            <a:endParaRPr lang="cs-CZ"/>
          </a:p>
        </c:txPr>
        <c:crossAx val="997244880"/>
        <c:crosses val="autoZero"/>
        <c:auto val="1"/>
        <c:lblAlgn val="ctr"/>
        <c:lblOffset val="100"/>
        <c:noMultiLvlLbl val="0"/>
      </c:catAx>
      <c:valAx>
        <c:axId val="99724488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ahoma" panose="020B0604030504040204" pitchFamily="34" charset="0"/>
                <a:ea typeface="Tahoma" panose="020B0604030504040204" pitchFamily="34" charset="0"/>
                <a:cs typeface="Tahoma" panose="020B0604030504040204" pitchFamily="34" charset="0"/>
              </a:defRPr>
            </a:pPr>
            <a:endParaRPr lang="cs-CZ"/>
          </a:p>
        </c:txPr>
        <c:crossAx val="99725112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accent1"/>
      </a:solidFill>
      <a:round/>
    </a:ln>
    <a:effectLst/>
  </c:spPr>
  <c:txPr>
    <a:bodyPr/>
    <a:lstStyle/>
    <a:p>
      <a:pPr>
        <a:defRPr/>
      </a:pPr>
      <a:endParaRPr lang="cs-CZ"/>
    </a:p>
  </c:txPr>
  <c:externalData r:id="rId3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ahoma" panose="020B0604030504040204" pitchFamily="34" charset="0"/>
                    <a:ea typeface="Tahoma" panose="020B0604030504040204" pitchFamily="34" charset="0"/>
                    <a:cs typeface="Tahoma" panose="020B0604030504040204" pitchFamily="34" charset="0"/>
                  </a:defRPr>
                </a:pPr>
                <a:endParaRPr lang="cs-CZ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Podklady!$B$125:$B$129</c:f>
              <c:strCache>
                <c:ptCount val="5"/>
                <c:pt idx="0">
                  <c:v>Žádná nabídka</c:v>
                </c:pt>
                <c:pt idx="1">
                  <c:v>1-3 nabídky</c:v>
                </c:pt>
                <c:pt idx="2">
                  <c:v>4-6 nabídek</c:v>
                </c:pt>
                <c:pt idx="3">
                  <c:v>7-9 nabídek</c:v>
                </c:pt>
                <c:pt idx="4">
                  <c:v>&gt;9 nabídek</c:v>
                </c:pt>
              </c:strCache>
            </c:strRef>
          </c:cat>
          <c:val>
            <c:numRef>
              <c:f>Podklady!$C$125:$C$129</c:f>
              <c:numCache>
                <c:formatCode>General</c:formatCode>
                <c:ptCount val="5"/>
                <c:pt idx="0">
                  <c:v>92</c:v>
                </c:pt>
                <c:pt idx="1">
                  <c:v>26</c:v>
                </c:pt>
                <c:pt idx="2">
                  <c:v>6</c:v>
                </c:pt>
                <c:pt idx="3">
                  <c:v>2</c:v>
                </c:pt>
                <c:pt idx="4">
                  <c:v>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26B-4321-9F0F-F4FA0204E71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997147120"/>
        <c:axId val="997133808"/>
      </c:barChart>
      <c:catAx>
        <c:axId val="99714712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ahoma" panose="020B0604030504040204" pitchFamily="34" charset="0"/>
                <a:ea typeface="Tahoma" panose="020B0604030504040204" pitchFamily="34" charset="0"/>
                <a:cs typeface="Tahoma" panose="020B0604030504040204" pitchFamily="34" charset="0"/>
              </a:defRPr>
            </a:pPr>
            <a:endParaRPr lang="cs-CZ"/>
          </a:p>
        </c:txPr>
        <c:crossAx val="997133808"/>
        <c:crosses val="autoZero"/>
        <c:auto val="1"/>
        <c:lblAlgn val="ctr"/>
        <c:lblOffset val="100"/>
        <c:noMultiLvlLbl val="0"/>
      </c:catAx>
      <c:valAx>
        <c:axId val="997133808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ahoma" panose="020B0604030504040204" pitchFamily="34" charset="0"/>
                <a:ea typeface="Tahoma" panose="020B0604030504040204" pitchFamily="34" charset="0"/>
                <a:cs typeface="Tahoma" panose="020B0604030504040204" pitchFamily="34" charset="0"/>
              </a:defRPr>
            </a:pPr>
            <a:endParaRPr lang="cs-CZ"/>
          </a:p>
        </c:txPr>
        <c:crossAx val="99714712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accent1"/>
      </a:solidFill>
      <a:round/>
    </a:ln>
    <a:effectLst/>
  </c:spPr>
  <c:txPr>
    <a:bodyPr/>
    <a:lstStyle/>
    <a:p>
      <a:pPr>
        <a:defRPr/>
      </a:pPr>
      <a:endParaRPr lang="cs-CZ"/>
    </a:p>
  </c:txPr>
  <c:externalData r:id="rId3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ahoma" panose="020B0604030504040204" pitchFamily="34" charset="0"/>
                    <a:ea typeface="Tahoma" panose="020B0604030504040204" pitchFamily="34" charset="0"/>
                    <a:cs typeface="Tahoma" panose="020B0604030504040204" pitchFamily="34" charset="0"/>
                  </a:defRPr>
                </a:pPr>
                <a:endParaRPr lang="cs-CZ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Podklady!$B$220:$B$222</c:f>
              <c:strCache>
                <c:ptCount val="3"/>
                <c:pt idx="0">
                  <c:v>Opětovné jmenování stávajícího auditora (auditorů)/auditorské společnosti (společností) neproběhlo ani jmenování nového auditora neproběhlo</c:v>
                </c:pt>
                <c:pt idx="1">
                  <c:v>Jmenování nového auditora (auditorů) / auditorské společnosti (společností)</c:v>
                </c:pt>
                <c:pt idx="2">
                  <c:v>Opětovné jmenování stávajícího auditora (auditorů) / auditorské společnosti (společností) na základě výběrového řízení uspořádaného subjektem</c:v>
                </c:pt>
              </c:strCache>
            </c:strRef>
          </c:cat>
          <c:val>
            <c:numRef>
              <c:f>Podklady!$C$220:$C$222</c:f>
              <c:numCache>
                <c:formatCode>General</c:formatCode>
                <c:ptCount val="3"/>
                <c:pt idx="0">
                  <c:v>95</c:v>
                </c:pt>
                <c:pt idx="1">
                  <c:v>17</c:v>
                </c:pt>
                <c:pt idx="2">
                  <c:v>21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110-43E7-90F4-242E0BBF7DF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1340110816"/>
        <c:axId val="1340105824"/>
      </c:barChart>
      <c:catAx>
        <c:axId val="134011081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ahoma" panose="020B0604030504040204" pitchFamily="34" charset="0"/>
                <a:ea typeface="Tahoma" panose="020B0604030504040204" pitchFamily="34" charset="0"/>
                <a:cs typeface="Tahoma" panose="020B0604030504040204" pitchFamily="34" charset="0"/>
              </a:defRPr>
            </a:pPr>
            <a:endParaRPr lang="cs-CZ"/>
          </a:p>
        </c:txPr>
        <c:crossAx val="1340105824"/>
        <c:crosses val="autoZero"/>
        <c:auto val="1"/>
        <c:lblAlgn val="ctr"/>
        <c:lblOffset val="100"/>
        <c:noMultiLvlLbl val="0"/>
      </c:catAx>
      <c:valAx>
        <c:axId val="1340105824"/>
        <c:scaling>
          <c:orientation val="minMax"/>
          <c:max val="100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ahoma" panose="020B0604030504040204" pitchFamily="34" charset="0"/>
                <a:ea typeface="Tahoma" panose="020B0604030504040204" pitchFamily="34" charset="0"/>
                <a:cs typeface="Tahoma" panose="020B0604030504040204" pitchFamily="34" charset="0"/>
              </a:defRPr>
            </a:pPr>
            <a:endParaRPr lang="cs-CZ"/>
          </a:p>
        </c:txPr>
        <c:crossAx val="134011081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accent1"/>
      </a:solidFill>
      <a:round/>
    </a:ln>
    <a:effectLst/>
  </c:spPr>
  <c:txPr>
    <a:bodyPr/>
    <a:lstStyle/>
    <a:p>
      <a:pPr>
        <a:defRPr/>
      </a:pPr>
      <a:endParaRPr lang="cs-CZ"/>
    </a:p>
  </c:txPr>
  <c:externalData r:id="rId3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ahoma" panose="020B0604030504040204" pitchFamily="34" charset="0"/>
                    <a:ea typeface="Tahoma" panose="020B0604030504040204" pitchFamily="34" charset="0"/>
                    <a:cs typeface="Tahoma" panose="020B0604030504040204" pitchFamily="34" charset="0"/>
                  </a:defRPr>
                </a:pPr>
                <a:endParaRPr lang="cs-CZ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Podklady!$B$304:$B$309</c:f>
              <c:strCache>
                <c:ptCount val="6"/>
                <c:pt idx="0">
                  <c:v>Nikdy</c:v>
                </c:pt>
                <c:pt idx="1">
                  <c:v>1x</c:v>
                </c:pt>
                <c:pt idx="2">
                  <c:v>2x</c:v>
                </c:pt>
                <c:pt idx="3">
                  <c:v>3x</c:v>
                </c:pt>
                <c:pt idx="4">
                  <c:v>4x</c:v>
                </c:pt>
                <c:pt idx="5">
                  <c:v>Více jak 4x </c:v>
                </c:pt>
              </c:strCache>
            </c:strRef>
          </c:cat>
          <c:val>
            <c:numRef>
              <c:f>Podklady!$C$304:$C$309</c:f>
              <c:numCache>
                <c:formatCode>General</c:formatCode>
                <c:ptCount val="6"/>
                <c:pt idx="0">
                  <c:v>25</c:v>
                </c:pt>
                <c:pt idx="1">
                  <c:v>30</c:v>
                </c:pt>
                <c:pt idx="2">
                  <c:v>33</c:v>
                </c:pt>
                <c:pt idx="3">
                  <c:v>22</c:v>
                </c:pt>
                <c:pt idx="4">
                  <c:v>8</c:v>
                </c:pt>
                <c:pt idx="5">
                  <c:v>15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829-4248-B9E4-AA4EF0A7880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340007232"/>
        <c:axId val="1340013888"/>
      </c:barChart>
      <c:catAx>
        <c:axId val="134000723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ahoma" panose="020B0604030504040204" pitchFamily="34" charset="0"/>
                <a:ea typeface="Tahoma" panose="020B0604030504040204" pitchFamily="34" charset="0"/>
                <a:cs typeface="Tahoma" panose="020B0604030504040204" pitchFamily="34" charset="0"/>
              </a:defRPr>
            </a:pPr>
            <a:endParaRPr lang="cs-CZ"/>
          </a:p>
        </c:txPr>
        <c:crossAx val="1340013888"/>
        <c:crosses val="autoZero"/>
        <c:auto val="1"/>
        <c:lblAlgn val="ctr"/>
        <c:lblOffset val="100"/>
        <c:noMultiLvlLbl val="0"/>
      </c:catAx>
      <c:valAx>
        <c:axId val="134001388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ahoma" panose="020B0604030504040204" pitchFamily="34" charset="0"/>
                <a:ea typeface="Tahoma" panose="020B0604030504040204" pitchFamily="34" charset="0"/>
                <a:cs typeface="Tahoma" panose="020B0604030504040204" pitchFamily="34" charset="0"/>
              </a:defRPr>
            </a:pPr>
            <a:endParaRPr lang="cs-CZ"/>
          </a:p>
        </c:txPr>
        <c:crossAx val="134000723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accent1"/>
      </a:solidFill>
      <a:round/>
    </a:ln>
    <a:effectLst/>
  </c:spPr>
  <c:txPr>
    <a:bodyPr/>
    <a:lstStyle/>
    <a:p>
      <a:pPr>
        <a:defRPr/>
      </a:pPr>
      <a:endParaRPr lang="cs-CZ"/>
    </a:p>
  </c:txPr>
  <c:externalData r:id="rId3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ahoma" panose="020B0604030504040204" pitchFamily="34" charset="0"/>
                    <a:ea typeface="Tahoma" panose="020B0604030504040204" pitchFamily="34" charset="0"/>
                    <a:cs typeface="Tahoma" panose="020B0604030504040204" pitchFamily="34" charset="0"/>
                  </a:defRPr>
                </a:pPr>
                <a:endParaRPr lang="cs-CZ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Podklady!$B$324:$B$327</c:f>
              <c:strCache>
                <c:ptCount val="4"/>
                <c:pt idx="0">
                  <c:v>Nezjišťoval, zda jsou zjištění k dispozici</c:v>
                </c:pt>
                <c:pt idx="1">
                  <c:v>Nebyla k dispozici žádná zpráva z kontroly kvality</c:v>
                </c:pt>
                <c:pt idx="2">
                  <c:v>Výbor pro audit neměl přístup ke zprávě z kontroly kvality</c:v>
                </c:pt>
                <c:pt idx="3">
                  <c:v>Výbor pro audit obdržel kopii zprávy z kontroly kvality</c:v>
                </c:pt>
              </c:strCache>
            </c:strRef>
          </c:cat>
          <c:val>
            <c:numRef>
              <c:f>Podklady!$C$324:$C$327</c:f>
              <c:numCache>
                <c:formatCode>General</c:formatCode>
                <c:ptCount val="4"/>
                <c:pt idx="0">
                  <c:v>23</c:v>
                </c:pt>
                <c:pt idx="1">
                  <c:v>88</c:v>
                </c:pt>
                <c:pt idx="2">
                  <c:v>18</c:v>
                </c:pt>
                <c:pt idx="3">
                  <c:v>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ED3-46B7-9D49-82AE8910949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997151280"/>
        <c:axId val="997148368"/>
      </c:barChart>
      <c:catAx>
        <c:axId val="99715128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ahoma" panose="020B0604030504040204" pitchFamily="34" charset="0"/>
                <a:ea typeface="Tahoma" panose="020B0604030504040204" pitchFamily="34" charset="0"/>
                <a:cs typeface="Tahoma" panose="020B0604030504040204" pitchFamily="34" charset="0"/>
              </a:defRPr>
            </a:pPr>
            <a:endParaRPr lang="cs-CZ"/>
          </a:p>
        </c:txPr>
        <c:crossAx val="997148368"/>
        <c:crosses val="autoZero"/>
        <c:auto val="1"/>
        <c:lblAlgn val="ctr"/>
        <c:lblOffset val="100"/>
        <c:noMultiLvlLbl val="0"/>
      </c:catAx>
      <c:valAx>
        <c:axId val="99714836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ahoma" panose="020B0604030504040204" pitchFamily="34" charset="0"/>
                <a:ea typeface="Tahoma" panose="020B0604030504040204" pitchFamily="34" charset="0"/>
                <a:cs typeface="Tahoma" panose="020B0604030504040204" pitchFamily="34" charset="0"/>
              </a:defRPr>
            </a:pPr>
            <a:endParaRPr lang="cs-CZ"/>
          </a:p>
        </c:txPr>
        <c:crossAx val="99715128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accent1"/>
      </a:solidFill>
      <a:round/>
    </a:ln>
    <a:effectLst/>
  </c:spPr>
  <c:txPr>
    <a:bodyPr/>
    <a:lstStyle/>
    <a:p>
      <a:pPr>
        <a:defRPr/>
      </a:pPr>
      <a:endParaRPr lang="cs-CZ"/>
    </a:p>
  </c:txPr>
  <c:externalData r:id="rId3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ahoma" panose="020B0604030504040204" pitchFamily="34" charset="0"/>
                    <a:ea typeface="Tahoma" panose="020B0604030504040204" pitchFamily="34" charset="0"/>
                    <a:cs typeface="Tahoma" panose="020B0604030504040204" pitchFamily="34" charset="0"/>
                  </a:defRPr>
                </a:pPr>
                <a:endParaRPr lang="cs-CZ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Podklady!$B$338:$B$343</c:f>
              <c:strCache>
                <c:ptCount val="6"/>
                <c:pt idx="0">
                  <c:v>Jiné</c:v>
                </c:pt>
                <c:pt idx="1">
                  <c:v>Dotazováním auditora v průběhu auditu</c:v>
                </c:pt>
                <c:pt idx="2">
                  <c:v>Provedením kritické analýzy dokumentů poskytnutých auditorem</c:v>
                </c:pt>
                <c:pt idx="3">
                  <c:v>Posouzením pracovního programu auditu</c:v>
                </c:pt>
                <c:pt idx="4">
                  <c:v>Posouzením úrovně významnosti stanovené auditorem</c:v>
                </c:pt>
                <c:pt idx="5">
                  <c:v>Posouzením rizik identifikovanými auditorem</c:v>
                </c:pt>
              </c:strCache>
            </c:strRef>
          </c:cat>
          <c:val>
            <c:numRef>
              <c:f>Podklady!$C$338:$C$343</c:f>
              <c:numCache>
                <c:formatCode>General</c:formatCode>
                <c:ptCount val="6"/>
                <c:pt idx="0">
                  <c:v>27</c:v>
                </c:pt>
                <c:pt idx="1">
                  <c:v>65</c:v>
                </c:pt>
                <c:pt idx="2">
                  <c:v>20</c:v>
                </c:pt>
                <c:pt idx="3">
                  <c:v>7</c:v>
                </c:pt>
                <c:pt idx="4">
                  <c:v>3</c:v>
                </c:pt>
                <c:pt idx="5">
                  <c:v>11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E2D-40ED-ADCD-EEF850A9832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997159184"/>
        <c:axId val="997157520"/>
      </c:barChart>
      <c:catAx>
        <c:axId val="99715918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ahoma" panose="020B0604030504040204" pitchFamily="34" charset="0"/>
                <a:ea typeface="Tahoma" panose="020B0604030504040204" pitchFamily="34" charset="0"/>
                <a:cs typeface="Tahoma" panose="020B0604030504040204" pitchFamily="34" charset="0"/>
              </a:defRPr>
            </a:pPr>
            <a:endParaRPr lang="cs-CZ"/>
          </a:p>
        </c:txPr>
        <c:crossAx val="997157520"/>
        <c:crosses val="autoZero"/>
        <c:auto val="1"/>
        <c:lblAlgn val="ctr"/>
        <c:lblOffset val="100"/>
        <c:noMultiLvlLbl val="0"/>
      </c:catAx>
      <c:valAx>
        <c:axId val="99715752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ahoma" panose="020B0604030504040204" pitchFamily="34" charset="0"/>
                <a:ea typeface="Tahoma" panose="020B0604030504040204" pitchFamily="34" charset="0"/>
                <a:cs typeface="Tahoma" panose="020B0604030504040204" pitchFamily="34" charset="0"/>
              </a:defRPr>
            </a:pPr>
            <a:endParaRPr lang="cs-CZ"/>
          </a:p>
        </c:txPr>
        <c:crossAx val="99715918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accent1"/>
      </a:solidFill>
      <a:round/>
    </a:ln>
    <a:effectLst/>
  </c:spPr>
  <c:txPr>
    <a:bodyPr/>
    <a:lstStyle/>
    <a:p>
      <a:pPr>
        <a:defRPr/>
      </a:pPr>
      <a:endParaRPr lang="cs-CZ"/>
    </a:p>
  </c:txPr>
  <c:externalData r:id="rId3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ahoma" panose="020B0604030504040204" pitchFamily="34" charset="0"/>
                    <a:ea typeface="Tahoma" panose="020B0604030504040204" pitchFamily="34" charset="0"/>
                    <a:cs typeface="Tahoma" panose="020B0604030504040204" pitchFamily="34" charset="0"/>
                  </a:defRPr>
                </a:pPr>
                <a:endParaRPr lang="cs-CZ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Podklady!$B$369:$B$372</c:f>
              <c:strCache>
                <c:ptCount val="4"/>
                <c:pt idx="0">
                  <c:v>Jiné</c:v>
                </c:pt>
                <c:pt idx="1">
                  <c:v>Rozhovory/schůzky s vedoucími oddělení</c:v>
                </c:pt>
                <c:pt idx="2">
                  <c:v>Posouzení zpráv interního auditu</c:v>
                </c:pt>
                <c:pt idx="3">
                  <c:v>Diskuze s auditorem</c:v>
                </c:pt>
              </c:strCache>
            </c:strRef>
          </c:cat>
          <c:val>
            <c:numRef>
              <c:f>Podklady!$C$369:$C$372</c:f>
              <c:numCache>
                <c:formatCode>General</c:formatCode>
                <c:ptCount val="4"/>
                <c:pt idx="0">
                  <c:v>13</c:v>
                </c:pt>
                <c:pt idx="1">
                  <c:v>42</c:v>
                </c:pt>
                <c:pt idx="2">
                  <c:v>28</c:v>
                </c:pt>
                <c:pt idx="3">
                  <c:v>50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F2B-40AF-93B4-4CB7108FF76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887451488"/>
        <c:axId val="887456064"/>
      </c:barChart>
      <c:catAx>
        <c:axId val="887451488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ahoma" panose="020B0604030504040204" pitchFamily="34" charset="0"/>
                <a:ea typeface="Tahoma" panose="020B0604030504040204" pitchFamily="34" charset="0"/>
                <a:cs typeface="Tahoma" panose="020B0604030504040204" pitchFamily="34" charset="0"/>
              </a:defRPr>
            </a:pPr>
            <a:endParaRPr lang="cs-CZ"/>
          </a:p>
        </c:txPr>
        <c:crossAx val="887456064"/>
        <c:crosses val="autoZero"/>
        <c:auto val="1"/>
        <c:lblAlgn val="ctr"/>
        <c:lblOffset val="100"/>
        <c:noMultiLvlLbl val="0"/>
      </c:catAx>
      <c:valAx>
        <c:axId val="887456064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ahoma" panose="020B0604030504040204" pitchFamily="34" charset="0"/>
                <a:ea typeface="Tahoma" panose="020B0604030504040204" pitchFamily="34" charset="0"/>
                <a:cs typeface="Tahoma" panose="020B0604030504040204" pitchFamily="34" charset="0"/>
              </a:defRPr>
            </a:pPr>
            <a:endParaRPr lang="cs-CZ"/>
          </a:p>
        </c:txPr>
        <c:crossAx val="88745148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accent1"/>
      </a:solidFill>
      <a:round/>
    </a:ln>
    <a:effectLst/>
  </c:spPr>
  <c:txPr>
    <a:bodyPr/>
    <a:lstStyle/>
    <a:p>
      <a:pPr>
        <a:defRPr/>
      </a:pPr>
      <a:endParaRPr lang="cs-CZ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9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0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2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4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5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6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3023</Words>
  <Characters>17840</Characters>
  <Application>Microsoft Office Word</Application>
  <DocSecurity>0</DocSecurity>
  <Lines>148</Lines>
  <Paragraphs>41</Paragraphs>
  <ScaleCrop>false</ScaleCrop>
  <Company/>
  <LinksUpToDate>false</LinksUpToDate>
  <CharactersWithSpaces>20822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Smetanová</dc:creator>
  <cp:keywords/>
  <dc:description/>
  <cp:lastModifiedBy>Martina Smetanová</cp:lastModifiedBy>
  <cp:revision>1</cp:revision>
  <dcterms:created xsi:type="dcterms:W3CDTF">2023-03-30T10:29:00Z</dcterms:created>
  <dcterms:modified xsi:type="dcterms:W3CDTF">2023-03-30T10:30:00Z</dcterms:modified>
</cp:coreProperties>
</file>